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tabs>
          <w:tab w:pos="5819" w:val="left" w:leader="none"/>
        </w:tabs>
        <w:spacing w:before="71"/>
        <w:ind w:left="155" w:right="171"/>
      </w:pPr>
      <w:r>
        <w:rPr/>
        <w:t>REPUBLIQUE ISLAMIQUE</w:t>
      </w:r>
      <w:r>
        <w:rPr>
          <w:spacing w:val="-8"/>
        </w:rPr>
        <w:t> </w:t>
      </w:r>
      <w:r>
        <w:rPr/>
        <w:t>DE</w:t>
      </w:r>
      <w:r>
        <w:rPr>
          <w:spacing w:val="-3"/>
        </w:rPr>
        <w:t> </w:t>
      </w:r>
      <w:r>
        <w:rPr/>
        <w:t>MAURITANIE</w:t>
        <w:tab/>
        <w:t>Honneur - Fraternité - Justice PREMIER</w:t>
      </w:r>
      <w:r>
        <w:rPr>
          <w:spacing w:val="-1"/>
        </w:rPr>
        <w:t> </w:t>
      </w:r>
      <w:r>
        <w:rPr/>
        <w:t>MINISTRE</w:t>
      </w:r>
    </w:p>
    <w:p>
      <w:pPr>
        <w:pStyle w:val="BodyText"/>
        <w:rPr>
          <w:b/>
          <w:sz w:val="20"/>
        </w:rPr>
      </w:pPr>
    </w:p>
    <w:p>
      <w:pPr>
        <w:pStyle w:val="BodyText"/>
        <w:rPr>
          <w:b/>
          <w:sz w:val="20"/>
        </w:rPr>
      </w:pPr>
    </w:p>
    <w:p>
      <w:pPr>
        <w:spacing w:before="92"/>
        <w:ind w:left="155" w:right="8458" w:firstLine="0"/>
        <w:jc w:val="left"/>
        <w:rPr>
          <w:b/>
          <w:sz w:val="24"/>
        </w:rPr>
      </w:pPr>
      <w:r>
        <w:rPr>
          <w:b/>
          <w:sz w:val="24"/>
          <w:u w:val="thick"/>
        </w:rPr>
        <w:t>VISA</w:t>
      </w:r>
      <w:r>
        <w:rPr>
          <w:b/>
          <w:sz w:val="24"/>
        </w:rPr>
        <w:t> D.G.L.</w:t>
      </w:r>
    </w:p>
    <w:p>
      <w:pPr>
        <w:pStyle w:val="BodyText"/>
        <w:rPr>
          <w:b/>
        </w:rPr>
      </w:pPr>
    </w:p>
    <w:p>
      <w:pPr>
        <w:tabs>
          <w:tab w:pos="8015" w:val="left" w:leader="dot"/>
        </w:tabs>
        <w:spacing w:before="1"/>
        <w:ind w:left="3695" w:right="0" w:firstLine="0"/>
        <w:jc w:val="left"/>
        <w:rPr>
          <w:b/>
          <w:sz w:val="24"/>
        </w:rPr>
      </w:pPr>
      <w:r>
        <w:rPr>
          <w:b/>
          <w:sz w:val="24"/>
        </w:rPr>
        <w:t>Décret</w:t>
      </w:r>
      <w:r>
        <w:rPr>
          <w:b/>
          <w:spacing w:val="-4"/>
          <w:sz w:val="24"/>
        </w:rPr>
        <w:t> </w:t>
      </w:r>
      <w:r>
        <w:rPr>
          <w:b/>
          <w:sz w:val="24"/>
        </w:rPr>
        <w:t>n°</w:t>
      </w:r>
      <w:r>
        <w:rPr>
          <w:b/>
          <w:spacing w:val="-1"/>
          <w:sz w:val="24"/>
        </w:rPr>
        <w:t> </w:t>
      </w:r>
      <w:r>
        <w:rPr>
          <w:sz w:val="24"/>
        </w:rPr>
        <w:t>…</w:t>
      </w:r>
      <w:r>
        <w:rPr>
          <w:b/>
          <w:sz w:val="24"/>
          <w:vertAlign w:val="superscript"/>
        </w:rPr>
        <w:t>R</w:t>
      </w:r>
      <w:r>
        <w:rPr>
          <w:b/>
          <w:sz w:val="24"/>
          <w:vertAlign w:val="baseline"/>
        </w:rPr>
        <w:t>.148/2008</w:t>
      </w:r>
      <w:r>
        <w:rPr>
          <w:sz w:val="24"/>
          <w:vertAlign w:val="baseline"/>
        </w:rPr>
        <w:t>/</w:t>
        <w:tab/>
      </w:r>
      <w:r>
        <w:rPr>
          <w:b/>
          <w:sz w:val="24"/>
          <w:vertAlign w:val="baseline"/>
        </w:rPr>
        <w:t>PM/MIM</w:t>
      </w:r>
    </w:p>
    <w:p>
      <w:pPr>
        <w:spacing w:before="0"/>
        <w:ind w:left="3696" w:right="214" w:hanging="1"/>
        <w:jc w:val="left"/>
        <w:rPr>
          <w:b/>
          <w:sz w:val="24"/>
        </w:rPr>
      </w:pPr>
      <w:r>
        <w:rPr>
          <w:b/>
          <w:sz w:val="24"/>
        </w:rPr>
        <w:t>modifiant et complétant certaines dispositions du décret n° 2003-002 du 14 Janvier 2003 modifiant et complétant certaines dispositions du décret n° 96.067 en date du </w:t>
      </w:r>
      <w:r>
        <w:rPr>
          <w:b/>
          <w:sz w:val="20"/>
        </w:rPr>
        <w:t>9 </w:t>
      </w:r>
      <w:r>
        <w:rPr>
          <w:b/>
          <w:sz w:val="24"/>
        </w:rPr>
        <w:t>octobre </w:t>
      </w:r>
      <w:r>
        <w:rPr>
          <w:b/>
          <w:sz w:val="20"/>
        </w:rPr>
        <w:t>1996 </w:t>
      </w:r>
      <w:r>
        <w:rPr>
          <w:b/>
          <w:sz w:val="24"/>
        </w:rPr>
        <w:t>modifiant certaines disposition du décret n°</w:t>
      </w:r>
    </w:p>
    <w:p>
      <w:pPr>
        <w:spacing w:before="0"/>
        <w:ind w:left="3696" w:right="1168" w:firstLine="0"/>
        <w:jc w:val="left"/>
        <w:rPr>
          <w:b/>
          <w:sz w:val="24"/>
        </w:rPr>
      </w:pPr>
      <w:r>
        <w:rPr>
          <w:b/>
          <w:sz w:val="24"/>
        </w:rPr>
        <w:t>80.121 du 9 juin 1980 fixant les taxes et redevances minières.</w:t>
      </w:r>
    </w:p>
    <w:p>
      <w:pPr>
        <w:pStyle w:val="BodyText"/>
        <w:spacing w:before="11"/>
        <w:rPr>
          <w:b/>
          <w:sz w:val="15"/>
        </w:rPr>
      </w:pPr>
    </w:p>
    <w:p>
      <w:pPr>
        <w:spacing w:before="92"/>
        <w:ind w:left="424" w:right="0" w:firstLine="0"/>
        <w:jc w:val="left"/>
        <w:rPr>
          <w:b/>
          <w:sz w:val="24"/>
        </w:rPr>
      </w:pPr>
      <w:r>
        <w:rPr>
          <w:b/>
          <w:sz w:val="24"/>
        </w:rPr>
        <w:t>Le Premier Ministre</w:t>
      </w:r>
    </w:p>
    <w:p>
      <w:pPr>
        <w:pStyle w:val="BodyText"/>
        <w:rPr>
          <w:b/>
          <w:sz w:val="26"/>
        </w:rPr>
      </w:pPr>
    </w:p>
    <w:p>
      <w:pPr>
        <w:spacing w:before="205"/>
        <w:ind w:left="155" w:right="0" w:firstLine="0"/>
        <w:jc w:val="left"/>
        <w:rPr>
          <w:rFonts w:ascii="Times New Roman" w:hAnsi="Times New Roman"/>
          <w:sz w:val="20"/>
        </w:rPr>
      </w:pPr>
      <w:r>
        <w:rPr>
          <w:rFonts w:ascii="Times New Roman" w:hAnsi="Times New Roman"/>
          <w:sz w:val="20"/>
        </w:rPr>
        <w:t>Sur rapport du Ministre de l’Industrie et des Mines,</w:t>
      </w:r>
    </w:p>
    <w:p>
      <w:pPr>
        <w:pStyle w:val="BodyText"/>
        <w:spacing w:before="1"/>
        <w:rPr>
          <w:rFonts w:ascii="Times New Roman"/>
          <w:sz w:val="20"/>
        </w:rPr>
      </w:pPr>
    </w:p>
    <w:p>
      <w:pPr>
        <w:spacing w:before="0"/>
        <w:ind w:left="559" w:right="2037" w:hanging="404"/>
        <w:jc w:val="left"/>
        <w:rPr>
          <w:rFonts w:ascii="Times New Roman" w:hAnsi="Times New Roman"/>
          <w:sz w:val="20"/>
        </w:rPr>
      </w:pPr>
      <w:r>
        <w:rPr>
          <w:rFonts w:ascii="Times New Roman" w:hAnsi="Times New Roman"/>
          <w:sz w:val="20"/>
        </w:rPr>
        <w:t>VU La Constitution du 20 Juillet 1991, rétablie et modifiée par la Loi Constitutionnelle n° 2006-014 du 12 Juillet 2006 ;</w:t>
      </w:r>
    </w:p>
    <w:p>
      <w:pPr>
        <w:spacing w:before="0"/>
        <w:ind w:left="583" w:right="214" w:hanging="428"/>
        <w:jc w:val="left"/>
        <w:rPr>
          <w:rFonts w:ascii="Times New Roman" w:hAnsi="Times New Roman"/>
          <w:sz w:val="20"/>
        </w:rPr>
      </w:pPr>
      <w:r>
        <w:rPr>
          <w:rFonts w:ascii="Times New Roman" w:hAnsi="Times New Roman"/>
          <w:sz w:val="20"/>
        </w:rPr>
        <w:t>VU l’ordonnance constitutionnelle n°2008-002 du 13 Août 2008 régissant les pouvoirs provisoires du Haut Conseil d’Etat;</w:t>
      </w:r>
    </w:p>
    <w:p>
      <w:pPr>
        <w:spacing w:before="0"/>
        <w:ind w:left="155" w:right="0" w:firstLine="0"/>
        <w:jc w:val="left"/>
        <w:rPr>
          <w:rFonts w:ascii="Times New Roman" w:hAnsi="Times New Roman"/>
          <w:sz w:val="20"/>
        </w:rPr>
      </w:pPr>
      <w:r>
        <w:rPr>
          <w:rFonts w:ascii="Times New Roman" w:hAnsi="Times New Roman"/>
          <w:sz w:val="20"/>
        </w:rPr>
        <w:t>VU La loi n° 2008-011 du 27 Avril 2008 portant Code Minier ;</w:t>
      </w:r>
    </w:p>
    <w:p>
      <w:pPr>
        <w:spacing w:before="0"/>
        <w:ind w:left="583" w:right="214" w:hanging="428"/>
        <w:jc w:val="left"/>
        <w:rPr>
          <w:rFonts w:ascii="Times New Roman" w:hAnsi="Times New Roman"/>
          <w:sz w:val="20"/>
        </w:rPr>
      </w:pPr>
      <w:r>
        <w:rPr>
          <w:rFonts w:ascii="Times New Roman" w:hAnsi="Times New Roman"/>
          <w:sz w:val="20"/>
        </w:rPr>
        <w:t>VU Le décret n° 157.2007 du 06 Septembre 2007 relatif au Conseil des Ministres et aux attributions du Premier Ministre et des Ministres;</w:t>
      </w:r>
    </w:p>
    <w:p>
      <w:pPr>
        <w:spacing w:line="228" w:lineRule="exact" w:before="0"/>
        <w:ind w:left="156" w:right="0" w:firstLine="0"/>
        <w:jc w:val="left"/>
        <w:rPr>
          <w:rFonts w:ascii="Times New Roman" w:hAnsi="Times New Roman"/>
          <w:sz w:val="20"/>
        </w:rPr>
      </w:pPr>
      <w:r>
        <w:rPr>
          <w:rFonts w:ascii="Times New Roman" w:hAnsi="Times New Roman"/>
          <w:sz w:val="20"/>
        </w:rPr>
        <w:t>VU le décret n°150-2008 du 14 Août 2008 portant nomination du Premier Ministre ;</w:t>
      </w:r>
    </w:p>
    <w:p>
      <w:pPr>
        <w:spacing w:before="0"/>
        <w:ind w:left="156" w:right="0" w:firstLine="0"/>
        <w:jc w:val="left"/>
        <w:rPr>
          <w:rFonts w:ascii="Times New Roman" w:hAnsi="Times New Roman"/>
          <w:sz w:val="20"/>
        </w:rPr>
      </w:pPr>
      <w:r>
        <w:rPr>
          <w:rFonts w:ascii="Times New Roman" w:hAnsi="Times New Roman"/>
          <w:sz w:val="20"/>
        </w:rPr>
        <w:t>VU le décret n°159-2008 du 31 Août 2008 portant nomination des membres du Gouvernement ;</w:t>
      </w:r>
    </w:p>
    <w:p>
      <w:pPr>
        <w:spacing w:before="1"/>
        <w:ind w:left="583" w:right="298" w:hanging="428"/>
        <w:jc w:val="left"/>
        <w:rPr>
          <w:rFonts w:ascii="Times New Roman" w:hAnsi="Times New Roman"/>
          <w:sz w:val="20"/>
        </w:rPr>
      </w:pPr>
      <w:r>
        <w:rPr>
          <w:rFonts w:ascii="Times New Roman" w:hAnsi="Times New Roman"/>
          <w:sz w:val="20"/>
        </w:rPr>
        <w:t>VU Le décret n° 174.2008 du 05 Octobre 2008 fixant les attributions du Ministre de l’Industrie et des Mines et l'Organisation de l'Administration Centrale de son Département ;</w:t>
      </w:r>
    </w:p>
    <w:p>
      <w:pPr>
        <w:spacing w:before="1"/>
        <w:ind w:left="583" w:right="173" w:hanging="428"/>
        <w:jc w:val="left"/>
        <w:rPr>
          <w:rFonts w:ascii="Times New Roman" w:hAnsi="Times New Roman"/>
          <w:sz w:val="20"/>
        </w:rPr>
      </w:pPr>
      <w:r>
        <w:rPr>
          <w:rFonts w:ascii="Times New Roman" w:hAnsi="Times New Roman"/>
          <w:sz w:val="20"/>
        </w:rPr>
        <w:t>VU Le décret n° 2003.002 du 14 Janvier 2003 modifiant et complétant certaines dispositions du décret n°067.96 en date du 9 Octobre 1996 modifiant certaines dispositions du décret n°121.80 du 9 juin 1980 fixant les taxes et redevances minières.</w:t>
      </w:r>
    </w:p>
    <w:p>
      <w:pPr>
        <w:pStyle w:val="BodyText"/>
        <w:rPr>
          <w:rFonts w:ascii="Times New Roman"/>
          <w:sz w:val="22"/>
        </w:rPr>
      </w:pPr>
    </w:p>
    <w:p>
      <w:pPr>
        <w:pStyle w:val="BodyText"/>
        <w:spacing w:before="1"/>
        <w:rPr>
          <w:rFonts w:ascii="Times New Roman"/>
          <w:sz w:val="26"/>
        </w:rPr>
      </w:pPr>
    </w:p>
    <w:p>
      <w:pPr>
        <w:pStyle w:val="Heading1"/>
        <w:spacing w:line="681" w:lineRule="auto"/>
        <w:ind w:left="4475" w:hanging="1634"/>
      </w:pPr>
      <w:r>
        <w:rPr/>
        <w:t>Le Conseil des Ministre entendu le 09 Octobre 2008 </w:t>
      </w:r>
      <w:r>
        <w:rPr>
          <w:u w:val="thick"/>
        </w:rPr>
        <w:t>Décrète</w:t>
      </w:r>
    </w:p>
    <w:p>
      <w:pPr>
        <w:pStyle w:val="BodyText"/>
        <w:spacing w:before="9"/>
        <w:rPr>
          <w:b/>
          <w:sz w:val="11"/>
        </w:rPr>
      </w:pPr>
    </w:p>
    <w:p>
      <w:pPr>
        <w:pStyle w:val="BodyText"/>
        <w:spacing w:before="92"/>
        <w:ind w:left="156" w:right="214"/>
      </w:pPr>
      <w:r>
        <w:rPr>
          <w:b/>
          <w:u w:val="thick"/>
        </w:rPr>
        <w:t>Article Premier</w:t>
      </w:r>
      <w:r>
        <w:rPr>
          <w:b/>
        </w:rPr>
        <w:t> : </w:t>
      </w:r>
      <w:r>
        <w:rPr/>
        <w:t>Les dispositions des articles 1, 2, 3 et 4 du décret n° 2003.002 du 14 janvier 2003 sont modifiées ainsi qu'il suit :</w:t>
      </w:r>
    </w:p>
    <w:p>
      <w:pPr>
        <w:pStyle w:val="BodyText"/>
        <w:rPr>
          <w:sz w:val="26"/>
        </w:rPr>
      </w:pPr>
    </w:p>
    <w:p>
      <w:pPr>
        <w:pStyle w:val="BodyText"/>
        <w:spacing w:before="205"/>
        <w:ind w:left="156" w:right="214"/>
      </w:pPr>
      <w:r>
        <w:rPr>
          <w:b/>
          <w:u w:val="thick"/>
        </w:rPr>
        <w:t>Article Premier (nouveau)</w:t>
      </w:r>
      <w:r>
        <w:rPr>
          <w:b/>
        </w:rPr>
        <w:t> : </w:t>
      </w:r>
      <w:r>
        <w:rPr/>
        <w:t>Les droits rémunératoires prévus à l’article 106 de la Loi n° 2008.011 du 27 avril 2008 portant code minier sont fixés comme suit</w:t>
      </w:r>
      <w:r>
        <w:rPr>
          <w:spacing w:val="15"/>
        </w:rPr>
        <w:t> </w:t>
      </w:r>
      <w:r>
        <w:rPr/>
        <w:t>:</w:t>
      </w:r>
    </w:p>
    <w:p>
      <w:pPr>
        <w:spacing w:after="0"/>
        <w:sectPr>
          <w:footerReference w:type="default" r:id="rId5"/>
          <w:type w:val="continuous"/>
          <w:pgSz w:w="11900" w:h="16840"/>
          <w:pgMar w:footer="794" w:top="1340" w:bottom="980" w:left="1260" w:right="1300"/>
          <w:pgNumType w:start="1"/>
        </w:sectPr>
      </w:pPr>
    </w:p>
    <w:p>
      <w:pPr>
        <w:pStyle w:val="Heading1"/>
        <w:numPr>
          <w:ilvl w:val="0"/>
          <w:numId w:val="1"/>
        </w:numPr>
        <w:tabs>
          <w:tab w:pos="658" w:val="left" w:leader="none"/>
        </w:tabs>
        <w:spacing w:line="240" w:lineRule="auto" w:before="82" w:after="0"/>
        <w:ind w:left="657" w:right="0" w:hanging="360"/>
        <w:jc w:val="left"/>
        <w:rPr>
          <w:b w:val="0"/>
        </w:rPr>
      </w:pPr>
      <w:r>
        <w:rPr/>
        <w:t>Permis de recherche</w:t>
      </w:r>
      <w:r>
        <w:rPr>
          <w:spacing w:val="3"/>
        </w:rPr>
        <w:t> </w:t>
      </w:r>
      <w:r>
        <w:rPr>
          <w:b w:val="0"/>
        </w:rPr>
        <w:t>:</w:t>
      </w:r>
    </w:p>
    <w:p>
      <w:pPr>
        <w:pStyle w:val="BodyText"/>
      </w:pPr>
    </w:p>
    <w:p>
      <w:pPr>
        <w:pStyle w:val="BodyText"/>
        <w:ind w:left="155"/>
      </w:pPr>
      <w:r>
        <w:rPr/>
        <w:t>Pour la délivrance, l’extension, la réduction, le renouvellement,</w:t>
      </w:r>
    </w:p>
    <w:p>
      <w:pPr>
        <w:pStyle w:val="BodyText"/>
        <w:tabs>
          <w:tab w:pos="7274" w:val="left" w:leader="none"/>
        </w:tabs>
        <w:ind w:left="155"/>
      </w:pPr>
      <w:r>
        <w:rPr/>
        <w:t>la résiliation anticipée, l’apport en société et la</w:t>
      </w:r>
      <w:r>
        <w:rPr>
          <w:spacing w:val="9"/>
        </w:rPr>
        <w:t> </w:t>
      </w:r>
      <w:r>
        <w:rPr/>
        <w:t>mutation</w:t>
      </w:r>
      <w:r>
        <w:rPr>
          <w:spacing w:val="1"/>
        </w:rPr>
        <w:t> </w:t>
      </w:r>
      <w:r>
        <w:rPr/>
        <w:t>:</w:t>
        <w:tab/>
      </w:r>
      <w:r>
        <w:rPr>
          <w:b/>
        </w:rPr>
        <w:t>2.000.000</w:t>
      </w:r>
      <w:r>
        <w:rPr>
          <w:b/>
          <w:spacing w:val="1"/>
        </w:rPr>
        <w:t> </w:t>
      </w:r>
      <w:r>
        <w:rPr/>
        <w:t>;</w:t>
      </w:r>
    </w:p>
    <w:p>
      <w:pPr>
        <w:pStyle w:val="BodyText"/>
        <w:rPr>
          <w:sz w:val="26"/>
        </w:rPr>
      </w:pPr>
    </w:p>
    <w:p>
      <w:pPr>
        <w:pStyle w:val="BodyText"/>
        <w:rPr>
          <w:sz w:val="22"/>
        </w:rPr>
      </w:pPr>
    </w:p>
    <w:p>
      <w:pPr>
        <w:pStyle w:val="Heading1"/>
        <w:numPr>
          <w:ilvl w:val="0"/>
          <w:numId w:val="1"/>
        </w:numPr>
        <w:tabs>
          <w:tab w:pos="658" w:val="left" w:leader="none"/>
        </w:tabs>
        <w:spacing w:line="240" w:lineRule="auto" w:before="0" w:after="0"/>
        <w:ind w:left="657" w:right="0" w:hanging="360"/>
        <w:jc w:val="left"/>
        <w:rPr>
          <w:b w:val="0"/>
        </w:rPr>
      </w:pPr>
      <w:r>
        <w:rPr/>
        <w:t>Permis d'exploitation </w:t>
      </w:r>
      <w:r>
        <w:rPr>
          <w:b w:val="0"/>
        </w:rPr>
        <w:t>:</w:t>
      </w:r>
    </w:p>
    <w:p>
      <w:pPr>
        <w:pStyle w:val="BodyText"/>
      </w:pPr>
    </w:p>
    <w:p>
      <w:pPr>
        <w:pStyle w:val="BodyText"/>
        <w:ind w:left="297" w:right="2219"/>
      </w:pPr>
      <w:r>
        <w:rPr/>
        <w:t>Pour la délivrance, l’extension, la réduction, le renouvellement, la résiliation anticipée, le transfert, l’apport en société</w:t>
      </w:r>
    </w:p>
    <w:p>
      <w:pPr>
        <w:tabs>
          <w:tab w:pos="7843" w:val="left" w:leader="none"/>
        </w:tabs>
        <w:spacing w:before="0"/>
        <w:ind w:left="364" w:right="0" w:firstLine="0"/>
        <w:jc w:val="left"/>
        <w:rPr>
          <w:sz w:val="24"/>
        </w:rPr>
      </w:pPr>
      <w:r>
        <w:rPr>
          <w:sz w:val="24"/>
        </w:rPr>
        <w:t>et l’hypothèque</w:t>
      </w:r>
      <w:r>
        <w:rPr>
          <w:spacing w:val="1"/>
          <w:sz w:val="24"/>
        </w:rPr>
        <w:t> </w:t>
      </w:r>
      <w:r>
        <w:rPr>
          <w:sz w:val="24"/>
        </w:rPr>
        <w:t>:</w:t>
        <w:tab/>
      </w:r>
      <w:r>
        <w:rPr>
          <w:b/>
          <w:sz w:val="24"/>
        </w:rPr>
        <w:t>10.000.000</w:t>
      </w:r>
      <w:r>
        <w:rPr>
          <w:b/>
          <w:spacing w:val="3"/>
          <w:sz w:val="24"/>
        </w:rPr>
        <w:t> </w:t>
      </w:r>
      <w:r>
        <w:rPr>
          <w:sz w:val="24"/>
        </w:rPr>
        <w:t>;</w:t>
      </w:r>
    </w:p>
    <w:p>
      <w:pPr>
        <w:pStyle w:val="BodyText"/>
        <w:rPr>
          <w:sz w:val="26"/>
        </w:rPr>
      </w:pPr>
    </w:p>
    <w:p>
      <w:pPr>
        <w:pStyle w:val="BodyText"/>
        <w:rPr>
          <w:sz w:val="22"/>
        </w:rPr>
      </w:pPr>
    </w:p>
    <w:p>
      <w:pPr>
        <w:pStyle w:val="Heading1"/>
        <w:numPr>
          <w:ilvl w:val="0"/>
          <w:numId w:val="1"/>
        </w:numPr>
        <w:tabs>
          <w:tab w:pos="658" w:val="left" w:leader="none"/>
        </w:tabs>
        <w:spacing w:line="240" w:lineRule="auto" w:before="0" w:after="0"/>
        <w:ind w:left="657" w:right="0" w:hanging="360"/>
        <w:jc w:val="left"/>
        <w:rPr>
          <w:b w:val="0"/>
        </w:rPr>
      </w:pPr>
      <w:r>
        <w:rPr/>
        <w:t>Permis de petite exploitation minière</w:t>
      </w:r>
      <w:r>
        <w:rPr>
          <w:spacing w:val="3"/>
        </w:rPr>
        <w:t> </w:t>
      </w:r>
      <w:r>
        <w:rPr>
          <w:b w:val="0"/>
        </w:rPr>
        <w:t>:</w:t>
      </w:r>
    </w:p>
    <w:p>
      <w:pPr>
        <w:pStyle w:val="BodyText"/>
      </w:pPr>
    </w:p>
    <w:p>
      <w:pPr>
        <w:pStyle w:val="BodyText"/>
        <w:tabs>
          <w:tab w:pos="7545" w:val="left" w:leader="none"/>
        </w:tabs>
        <w:ind w:left="297"/>
        <w:rPr>
          <w:b/>
        </w:rPr>
      </w:pPr>
      <w:r>
        <w:rPr/>
        <w:t>Pour l’octroi, la mutation, le renouvellement et l’apport</w:t>
      </w:r>
      <w:r>
        <w:rPr>
          <w:spacing w:val="10"/>
        </w:rPr>
        <w:t> </w:t>
      </w:r>
      <w:r>
        <w:rPr/>
        <w:t>en</w:t>
      </w:r>
      <w:r>
        <w:rPr>
          <w:spacing w:val="2"/>
        </w:rPr>
        <w:t> </w:t>
      </w:r>
      <w:r>
        <w:rPr/>
        <w:t>société:</w:t>
        <w:tab/>
      </w:r>
      <w:r>
        <w:rPr>
          <w:b/>
        </w:rPr>
        <w:t>2.500.000</w:t>
      </w:r>
      <w:r>
        <w:rPr>
          <w:b/>
          <w:spacing w:val="1"/>
        </w:rPr>
        <w:t> </w:t>
      </w:r>
      <w:r>
        <w:rPr>
          <w:b/>
        </w:rPr>
        <w:t>;</w:t>
      </w:r>
    </w:p>
    <w:p>
      <w:pPr>
        <w:pStyle w:val="BodyText"/>
        <w:rPr>
          <w:b/>
        </w:rPr>
      </w:pPr>
    </w:p>
    <w:p>
      <w:pPr>
        <w:pStyle w:val="Heading1"/>
        <w:numPr>
          <w:ilvl w:val="0"/>
          <w:numId w:val="1"/>
        </w:numPr>
        <w:tabs>
          <w:tab w:pos="658" w:val="left" w:leader="none"/>
        </w:tabs>
        <w:spacing w:line="240" w:lineRule="auto" w:before="0" w:after="0"/>
        <w:ind w:left="657" w:right="0" w:hanging="360"/>
        <w:jc w:val="left"/>
      </w:pPr>
      <w:r>
        <w:rPr/>
        <w:t>Autorisation d’ouverture d'une carrière Industrielle</w:t>
      </w:r>
      <w:r>
        <w:rPr>
          <w:spacing w:val="8"/>
        </w:rPr>
        <w:t> </w:t>
      </w:r>
      <w:r>
        <w:rPr/>
        <w:t>:</w:t>
      </w:r>
    </w:p>
    <w:p>
      <w:pPr>
        <w:pStyle w:val="BodyText"/>
        <w:rPr>
          <w:b/>
        </w:rPr>
      </w:pPr>
    </w:p>
    <w:p>
      <w:pPr>
        <w:pStyle w:val="BodyText"/>
        <w:ind w:left="351"/>
      </w:pPr>
      <w:r>
        <w:rPr/>
        <w:t>Pour l’octroi, le renouvellement, l’apport en société,</w:t>
      </w:r>
    </w:p>
    <w:p>
      <w:pPr>
        <w:tabs>
          <w:tab w:pos="7869" w:val="left" w:leader="none"/>
        </w:tabs>
        <w:spacing w:before="0"/>
        <w:ind w:left="351" w:right="0" w:firstLine="0"/>
        <w:jc w:val="left"/>
        <w:rPr>
          <w:b/>
          <w:sz w:val="24"/>
        </w:rPr>
      </w:pPr>
      <w:r>
        <w:rPr>
          <w:sz w:val="24"/>
        </w:rPr>
        <w:t>la mutation et</w:t>
      </w:r>
      <w:r>
        <w:rPr>
          <w:spacing w:val="3"/>
          <w:sz w:val="24"/>
        </w:rPr>
        <w:t> </w:t>
      </w:r>
      <w:r>
        <w:rPr>
          <w:sz w:val="24"/>
        </w:rPr>
        <w:t>l’hypothèque</w:t>
      </w:r>
      <w:r>
        <w:rPr>
          <w:spacing w:val="2"/>
          <w:sz w:val="24"/>
        </w:rPr>
        <w:t> </w:t>
      </w:r>
      <w:r>
        <w:rPr>
          <w:sz w:val="24"/>
        </w:rPr>
        <w:t>:</w:t>
        <w:tab/>
      </w:r>
      <w:r>
        <w:rPr>
          <w:b/>
          <w:sz w:val="24"/>
        </w:rPr>
        <w:t>2.000.000</w:t>
      </w:r>
      <w:r>
        <w:rPr>
          <w:b/>
          <w:spacing w:val="2"/>
          <w:sz w:val="24"/>
        </w:rPr>
        <w:t> </w:t>
      </w:r>
      <w:r>
        <w:rPr>
          <w:b/>
          <w:sz w:val="24"/>
        </w:rPr>
        <w:t>;</w:t>
      </w:r>
    </w:p>
    <w:p>
      <w:pPr>
        <w:pStyle w:val="BodyText"/>
        <w:rPr>
          <w:b/>
        </w:rPr>
      </w:pPr>
    </w:p>
    <w:p>
      <w:pPr>
        <w:pStyle w:val="Heading1"/>
        <w:numPr>
          <w:ilvl w:val="0"/>
          <w:numId w:val="1"/>
        </w:numPr>
        <w:tabs>
          <w:tab w:pos="658" w:val="left" w:leader="none"/>
        </w:tabs>
        <w:spacing w:line="240" w:lineRule="auto" w:before="0" w:after="0"/>
        <w:ind w:left="657" w:right="0" w:hanging="360"/>
        <w:jc w:val="left"/>
      </w:pPr>
      <w:r>
        <w:rPr/>
        <w:t>Autorisation d’ouverture d'une carrière artisanale</w:t>
      </w:r>
      <w:r>
        <w:rPr>
          <w:spacing w:val="9"/>
        </w:rPr>
        <w:t> </w:t>
      </w:r>
      <w:r>
        <w:rPr/>
        <w:t>:</w:t>
      </w:r>
    </w:p>
    <w:p>
      <w:pPr>
        <w:pStyle w:val="BodyText"/>
        <w:rPr>
          <w:b/>
        </w:rPr>
      </w:pPr>
    </w:p>
    <w:p>
      <w:pPr>
        <w:tabs>
          <w:tab w:pos="8285" w:val="left" w:leader="none"/>
        </w:tabs>
        <w:spacing w:before="0"/>
        <w:ind w:left="297" w:right="0" w:firstLine="0"/>
        <w:jc w:val="left"/>
        <w:rPr>
          <w:b/>
          <w:sz w:val="24"/>
        </w:rPr>
      </w:pPr>
      <w:r>
        <w:rPr>
          <w:b/>
          <w:sz w:val="24"/>
        </w:rPr>
        <w:t>Pour l’octroi, le renouvellement et la</w:t>
      </w:r>
      <w:r>
        <w:rPr>
          <w:b/>
          <w:spacing w:val="-10"/>
          <w:sz w:val="24"/>
        </w:rPr>
        <w:t> </w:t>
      </w:r>
      <w:r>
        <w:rPr>
          <w:b/>
          <w:sz w:val="24"/>
        </w:rPr>
        <w:t>mutation</w:t>
      </w:r>
      <w:r>
        <w:rPr>
          <w:b/>
          <w:spacing w:val="-1"/>
          <w:sz w:val="24"/>
        </w:rPr>
        <w:t> </w:t>
      </w:r>
      <w:r>
        <w:rPr>
          <w:b/>
          <w:sz w:val="24"/>
        </w:rPr>
        <w:t>:</w:t>
        <w:tab/>
        <w:t>250.000.</w:t>
      </w:r>
    </w:p>
    <w:p>
      <w:pPr>
        <w:pStyle w:val="BodyText"/>
        <w:rPr>
          <w:b/>
        </w:rPr>
      </w:pPr>
    </w:p>
    <w:p>
      <w:pPr>
        <w:pStyle w:val="BodyText"/>
        <w:ind w:left="156"/>
      </w:pPr>
      <w:r>
        <w:rPr/>
        <w:t>Les droits rémunératoires prévus au présent article sont liquidés conformément aux dispositions du décret portant sur les titres miniers et de carrière.</w:t>
      </w:r>
    </w:p>
    <w:p>
      <w:pPr>
        <w:pStyle w:val="BodyText"/>
      </w:pPr>
    </w:p>
    <w:p>
      <w:pPr>
        <w:pStyle w:val="Heading1"/>
        <w:ind w:left="156"/>
      </w:pPr>
      <w:r>
        <w:rPr/>
        <w:t>Article 2 nouveau</w:t>
      </w:r>
    </w:p>
    <w:p>
      <w:pPr>
        <w:pStyle w:val="BodyText"/>
        <w:rPr>
          <w:b/>
        </w:rPr>
      </w:pPr>
    </w:p>
    <w:p>
      <w:pPr>
        <w:pStyle w:val="BodyText"/>
        <w:spacing w:before="1"/>
        <w:ind w:left="156" w:right="109"/>
      </w:pPr>
      <w:r>
        <w:rPr/>
        <w:t>Le montant de la redevance superficiaire annuelle, prévue par l’article 107 de la loi n°2008-011 du 27 avril 2008 portant Code Minier, est fixé ainsi qu’il suit :</w:t>
      </w:r>
    </w:p>
    <w:p>
      <w:pPr>
        <w:pStyle w:val="BodyText"/>
        <w:spacing w:before="11"/>
        <w:rPr>
          <w:sz w:val="23"/>
        </w:rPr>
      </w:pPr>
    </w:p>
    <w:p>
      <w:pPr>
        <w:tabs>
          <w:tab w:pos="2831" w:val="left" w:leader="none"/>
        </w:tabs>
        <w:spacing w:before="0"/>
        <w:ind w:left="0" w:right="3105" w:firstLine="0"/>
        <w:jc w:val="center"/>
        <w:rPr>
          <w:sz w:val="24"/>
        </w:rPr>
      </w:pPr>
      <w:r>
        <w:rPr>
          <w:sz w:val="24"/>
        </w:rPr>
        <w:t>1</w:t>
      </w:r>
      <w:r>
        <w:rPr>
          <w:sz w:val="24"/>
          <w:vertAlign w:val="superscript"/>
        </w:rPr>
        <w:t>ère</w:t>
      </w:r>
      <w:r>
        <w:rPr>
          <w:spacing w:val="-3"/>
          <w:sz w:val="24"/>
          <w:vertAlign w:val="baseline"/>
        </w:rPr>
        <w:t> </w:t>
      </w:r>
      <w:r>
        <w:rPr>
          <w:sz w:val="24"/>
          <w:vertAlign w:val="baseline"/>
        </w:rPr>
        <w:t>année</w:t>
        <w:tab/>
      </w:r>
      <w:r>
        <w:rPr>
          <w:b/>
          <w:sz w:val="24"/>
          <w:vertAlign w:val="baseline"/>
        </w:rPr>
        <w:t>2.000 UM/km²</w:t>
      </w:r>
      <w:r>
        <w:rPr>
          <w:b/>
          <w:spacing w:val="1"/>
          <w:sz w:val="24"/>
          <w:vertAlign w:val="baseline"/>
        </w:rPr>
        <w:t> </w:t>
      </w:r>
      <w:r>
        <w:rPr>
          <w:sz w:val="24"/>
          <w:vertAlign w:val="baseline"/>
        </w:rPr>
        <w:t>;</w:t>
      </w:r>
    </w:p>
    <w:p>
      <w:pPr>
        <w:tabs>
          <w:tab w:pos="2831" w:val="left" w:leader="none"/>
        </w:tabs>
        <w:spacing w:before="0"/>
        <w:ind w:left="0" w:right="3105" w:firstLine="0"/>
        <w:jc w:val="center"/>
        <w:rPr>
          <w:sz w:val="24"/>
        </w:rPr>
      </w:pPr>
      <w:r>
        <w:rPr>
          <w:sz w:val="24"/>
        </w:rPr>
        <w:t>2</w:t>
      </w:r>
      <w:r>
        <w:rPr>
          <w:sz w:val="24"/>
          <w:vertAlign w:val="superscript"/>
        </w:rPr>
        <w:t>ème</w:t>
      </w:r>
      <w:r>
        <w:rPr>
          <w:spacing w:val="-2"/>
          <w:sz w:val="24"/>
          <w:vertAlign w:val="baseline"/>
        </w:rPr>
        <w:t> </w:t>
      </w:r>
      <w:r>
        <w:rPr>
          <w:sz w:val="24"/>
          <w:vertAlign w:val="baseline"/>
        </w:rPr>
        <w:t>année</w:t>
        <w:tab/>
      </w:r>
      <w:r>
        <w:rPr>
          <w:b/>
          <w:sz w:val="24"/>
          <w:vertAlign w:val="baseline"/>
        </w:rPr>
        <w:t>4.000 UM/km²</w:t>
      </w:r>
      <w:r>
        <w:rPr>
          <w:b/>
          <w:spacing w:val="1"/>
          <w:sz w:val="24"/>
          <w:vertAlign w:val="baseline"/>
        </w:rPr>
        <w:t> </w:t>
      </w:r>
      <w:r>
        <w:rPr>
          <w:sz w:val="24"/>
          <w:vertAlign w:val="baseline"/>
        </w:rPr>
        <w:t>;</w:t>
      </w:r>
    </w:p>
    <w:p>
      <w:pPr>
        <w:tabs>
          <w:tab w:pos="2831" w:val="left" w:leader="none"/>
        </w:tabs>
        <w:spacing w:before="0"/>
        <w:ind w:left="0" w:right="3105" w:firstLine="0"/>
        <w:jc w:val="center"/>
        <w:rPr>
          <w:sz w:val="24"/>
        </w:rPr>
      </w:pPr>
      <w:r>
        <w:rPr>
          <w:sz w:val="24"/>
        </w:rPr>
        <w:t>3</w:t>
      </w:r>
      <w:r>
        <w:rPr>
          <w:sz w:val="24"/>
          <w:vertAlign w:val="superscript"/>
        </w:rPr>
        <w:t>ème</w:t>
      </w:r>
      <w:r>
        <w:rPr>
          <w:spacing w:val="-2"/>
          <w:sz w:val="24"/>
          <w:vertAlign w:val="baseline"/>
        </w:rPr>
        <w:t> </w:t>
      </w:r>
      <w:r>
        <w:rPr>
          <w:sz w:val="24"/>
          <w:vertAlign w:val="baseline"/>
        </w:rPr>
        <w:t>année</w:t>
        <w:tab/>
      </w:r>
      <w:r>
        <w:rPr>
          <w:b/>
          <w:sz w:val="24"/>
          <w:vertAlign w:val="baseline"/>
        </w:rPr>
        <w:t>6.000 UM/km²</w:t>
      </w:r>
      <w:r>
        <w:rPr>
          <w:b/>
          <w:spacing w:val="1"/>
          <w:sz w:val="24"/>
          <w:vertAlign w:val="baseline"/>
        </w:rPr>
        <w:t> </w:t>
      </w:r>
      <w:r>
        <w:rPr>
          <w:sz w:val="24"/>
          <w:vertAlign w:val="baseline"/>
        </w:rPr>
        <w:t>;</w:t>
      </w:r>
    </w:p>
    <w:p>
      <w:pPr>
        <w:tabs>
          <w:tab w:pos="2831" w:val="left" w:leader="none"/>
        </w:tabs>
        <w:spacing w:before="0"/>
        <w:ind w:left="0" w:right="2971" w:firstLine="0"/>
        <w:jc w:val="center"/>
        <w:rPr>
          <w:sz w:val="24"/>
        </w:rPr>
      </w:pPr>
      <w:r>
        <w:rPr>
          <w:sz w:val="24"/>
        </w:rPr>
        <w:t>4</w:t>
      </w:r>
      <w:r>
        <w:rPr>
          <w:sz w:val="24"/>
          <w:vertAlign w:val="superscript"/>
        </w:rPr>
        <w:t>ème</w:t>
      </w:r>
      <w:r>
        <w:rPr>
          <w:spacing w:val="-2"/>
          <w:sz w:val="24"/>
          <w:vertAlign w:val="baseline"/>
        </w:rPr>
        <w:t> </w:t>
      </w:r>
      <w:r>
        <w:rPr>
          <w:sz w:val="24"/>
          <w:vertAlign w:val="baseline"/>
        </w:rPr>
        <w:t>année</w:t>
        <w:tab/>
      </w:r>
      <w:r>
        <w:rPr>
          <w:b/>
          <w:sz w:val="24"/>
          <w:vertAlign w:val="baseline"/>
        </w:rPr>
        <w:t>10.000 UM/km²</w:t>
      </w:r>
      <w:r>
        <w:rPr>
          <w:b/>
          <w:spacing w:val="2"/>
          <w:sz w:val="24"/>
          <w:vertAlign w:val="baseline"/>
        </w:rPr>
        <w:t> </w:t>
      </w:r>
      <w:r>
        <w:rPr>
          <w:sz w:val="24"/>
          <w:vertAlign w:val="baseline"/>
        </w:rPr>
        <w:t>;</w:t>
      </w:r>
    </w:p>
    <w:p>
      <w:pPr>
        <w:tabs>
          <w:tab w:pos="3695" w:val="left" w:leader="none"/>
        </w:tabs>
        <w:spacing w:before="0"/>
        <w:ind w:left="863" w:right="0" w:firstLine="0"/>
        <w:jc w:val="left"/>
        <w:rPr>
          <w:b/>
          <w:sz w:val="24"/>
        </w:rPr>
      </w:pPr>
      <w:r>
        <w:rPr>
          <w:sz w:val="24"/>
        </w:rPr>
        <w:t>5</w:t>
      </w:r>
      <w:r>
        <w:rPr>
          <w:sz w:val="24"/>
          <w:vertAlign w:val="superscript"/>
        </w:rPr>
        <w:t>ème</w:t>
      </w:r>
      <w:r>
        <w:rPr>
          <w:spacing w:val="-2"/>
          <w:sz w:val="24"/>
          <w:vertAlign w:val="baseline"/>
        </w:rPr>
        <w:t> </w:t>
      </w:r>
      <w:r>
        <w:rPr>
          <w:sz w:val="24"/>
          <w:vertAlign w:val="baseline"/>
        </w:rPr>
        <w:t>année</w:t>
        <w:tab/>
      </w:r>
      <w:r>
        <w:rPr>
          <w:b/>
          <w:sz w:val="24"/>
          <w:vertAlign w:val="baseline"/>
        </w:rPr>
        <w:t>12.000 UM/km²</w:t>
      </w:r>
      <w:r>
        <w:rPr>
          <w:b/>
          <w:spacing w:val="2"/>
          <w:sz w:val="24"/>
          <w:vertAlign w:val="baseline"/>
        </w:rPr>
        <w:t> </w:t>
      </w:r>
      <w:r>
        <w:rPr>
          <w:b/>
          <w:sz w:val="24"/>
          <w:vertAlign w:val="baseline"/>
        </w:rPr>
        <w:t>;</w:t>
      </w:r>
    </w:p>
    <w:p>
      <w:pPr>
        <w:tabs>
          <w:tab w:pos="2831" w:val="left" w:leader="none"/>
        </w:tabs>
        <w:spacing w:before="0"/>
        <w:ind w:left="0" w:right="2971" w:firstLine="0"/>
        <w:jc w:val="center"/>
        <w:rPr>
          <w:sz w:val="24"/>
        </w:rPr>
      </w:pPr>
      <w:r>
        <w:rPr>
          <w:sz w:val="24"/>
        </w:rPr>
        <w:t>6</w:t>
      </w:r>
      <w:r>
        <w:rPr>
          <w:sz w:val="24"/>
          <w:vertAlign w:val="superscript"/>
        </w:rPr>
        <w:t>ème</w:t>
      </w:r>
      <w:r>
        <w:rPr>
          <w:spacing w:val="-2"/>
          <w:sz w:val="24"/>
          <w:vertAlign w:val="baseline"/>
        </w:rPr>
        <w:t> </w:t>
      </w:r>
      <w:r>
        <w:rPr>
          <w:sz w:val="24"/>
          <w:vertAlign w:val="baseline"/>
        </w:rPr>
        <w:t>année</w:t>
        <w:tab/>
      </w:r>
      <w:r>
        <w:rPr>
          <w:b/>
          <w:sz w:val="24"/>
          <w:vertAlign w:val="baseline"/>
        </w:rPr>
        <w:t>14.000 UM/km²</w:t>
      </w:r>
      <w:r>
        <w:rPr>
          <w:b/>
          <w:spacing w:val="2"/>
          <w:sz w:val="24"/>
          <w:vertAlign w:val="baseline"/>
        </w:rPr>
        <w:t> </w:t>
      </w:r>
      <w:r>
        <w:rPr>
          <w:sz w:val="24"/>
          <w:vertAlign w:val="baseline"/>
        </w:rPr>
        <w:t>;</w:t>
      </w:r>
    </w:p>
    <w:p>
      <w:pPr>
        <w:tabs>
          <w:tab w:pos="2831" w:val="left" w:leader="none"/>
        </w:tabs>
        <w:spacing w:before="0"/>
        <w:ind w:left="0" w:right="2971" w:firstLine="0"/>
        <w:jc w:val="center"/>
        <w:rPr>
          <w:sz w:val="24"/>
        </w:rPr>
      </w:pPr>
      <w:r>
        <w:rPr>
          <w:sz w:val="24"/>
        </w:rPr>
        <w:t>7</w:t>
      </w:r>
      <w:r>
        <w:rPr>
          <w:sz w:val="24"/>
          <w:vertAlign w:val="superscript"/>
        </w:rPr>
        <w:t>ème</w:t>
      </w:r>
      <w:r>
        <w:rPr>
          <w:spacing w:val="-2"/>
          <w:sz w:val="24"/>
          <w:vertAlign w:val="baseline"/>
        </w:rPr>
        <w:t> </w:t>
      </w:r>
      <w:r>
        <w:rPr>
          <w:sz w:val="24"/>
          <w:vertAlign w:val="baseline"/>
        </w:rPr>
        <w:t>année</w:t>
        <w:tab/>
      </w:r>
      <w:r>
        <w:rPr>
          <w:b/>
          <w:sz w:val="24"/>
          <w:vertAlign w:val="baseline"/>
        </w:rPr>
        <w:t>20.000 UM/km</w:t>
      </w:r>
      <w:r>
        <w:rPr>
          <w:sz w:val="24"/>
          <w:vertAlign w:val="baseline"/>
        </w:rPr>
        <w:t>²</w:t>
      </w:r>
      <w:r>
        <w:rPr>
          <w:spacing w:val="2"/>
          <w:sz w:val="24"/>
          <w:vertAlign w:val="baseline"/>
        </w:rPr>
        <w:t> </w:t>
      </w:r>
      <w:r>
        <w:rPr>
          <w:sz w:val="24"/>
          <w:vertAlign w:val="baseline"/>
        </w:rPr>
        <w:t>;</w:t>
      </w:r>
    </w:p>
    <w:p>
      <w:pPr>
        <w:tabs>
          <w:tab w:pos="2831" w:val="left" w:leader="none"/>
        </w:tabs>
        <w:spacing w:before="0"/>
        <w:ind w:left="0" w:right="2971" w:firstLine="0"/>
        <w:jc w:val="center"/>
        <w:rPr>
          <w:sz w:val="24"/>
        </w:rPr>
      </w:pPr>
      <w:r>
        <w:rPr>
          <w:sz w:val="24"/>
        </w:rPr>
        <w:t>8</w:t>
      </w:r>
      <w:r>
        <w:rPr>
          <w:sz w:val="24"/>
          <w:vertAlign w:val="superscript"/>
        </w:rPr>
        <w:t>ème</w:t>
      </w:r>
      <w:r>
        <w:rPr>
          <w:spacing w:val="-2"/>
          <w:sz w:val="24"/>
          <w:vertAlign w:val="baseline"/>
        </w:rPr>
        <w:t> </w:t>
      </w:r>
      <w:r>
        <w:rPr>
          <w:sz w:val="24"/>
          <w:vertAlign w:val="baseline"/>
        </w:rPr>
        <w:t>année</w:t>
        <w:tab/>
      </w:r>
      <w:r>
        <w:rPr>
          <w:b/>
          <w:sz w:val="24"/>
          <w:vertAlign w:val="baseline"/>
        </w:rPr>
        <w:t>22.000 UM/km²</w:t>
      </w:r>
      <w:r>
        <w:rPr>
          <w:b/>
          <w:spacing w:val="2"/>
          <w:sz w:val="24"/>
          <w:vertAlign w:val="baseline"/>
        </w:rPr>
        <w:t> </w:t>
      </w:r>
      <w:r>
        <w:rPr>
          <w:sz w:val="24"/>
          <w:vertAlign w:val="baseline"/>
        </w:rPr>
        <w:t>;</w:t>
      </w:r>
    </w:p>
    <w:p>
      <w:pPr>
        <w:tabs>
          <w:tab w:pos="2831" w:val="left" w:leader="none"/>
        </w:tabs>
        <w:spacing w:before="0"/>
        <w:ind w:left="0" w:right="2971" w:firstLine="0"/>
        <w:jc w:val="center"/>
        <w:rPr>
          <w:sz w:val="24"/>
        </w:rPr>
      </w:pPr>
      <w:r>
        <w:rPr>
          <w:sz w:val="24"/>
        </w:rPr>
        <w:t>9</w:t>
      </w:r>
      <w:r>
        <w:rPr>
          <w:sz w:val="24"/>
          <w:vertAlign w:val="superscript"/>
        </w:rPr>
        <w:t>ème</w:t>
      </w:r>
      <w:r>
        <w:rPr>
          <w:spacing w:val="-2"/>
          <w:sz w:val="24"/>
          <w:vertAlign w:val="baseline"/>
        </w:rPr>
        <w:t> </w:t>
      </w:r>
      <w:r>
        <w:rPr>
          <w:sz w:val="24"/>
          <w:vertAlign w:val="baseline"/>
        </w:rPr>
        <w:t>année</w:t>
        <w:tab/>
      </w:r>
      <w:r>
        <w:rPr>
          <w:b/>
          <w:sz w:val="24"/>
          <w:vertAlign w:val="baseline"/>
        </w:rPr>
        <w:t>24.000 UM/km²</w:t>
      </w:r>
      <w:r>
        <w:rPr>
          <w:b/>
          <w:spacing w:val="2"/>
          <w:sz w:val="24"/>
          <w:vertAlign w:val="baseline"/>
        </w:rPr>
        <w:t> </w:t>
      </w:r>
      <w:r>
        <w:rPr>
          <w:sz w:val="24"/>
          <w:vertAlign w:val="baseline"/>
        </w:rPr>
        <w:t>.</w:t>
      </w:r>
    </w:p>
    <w:p>
      <w:pPr>
        <w:pStyle w:val="BodyText"/>
        <w:tabs>
          <w:tab w:pos="3515" w:val="left" w:leader="none"/>
        </w:tabs>
        <w:spacing w:line="550" w:lineRule="atLeast" w:before="2"/>
        <w:ind w:left="155" w:right="1387"/>
        <w:rPr>
          <w:b/>
        </w:rPr>
      </w:pPr>
      <w:r>
        <w:rPr/>
        <w:t>Le montant de la redevance superficiaire annuelle est fixé ainsi qu’il suit : Pour le permis</w:t>
      </w:r>
      <w:r>
        <w:rPr>
          <w:spacing w:val="-1"/>
        </w:rPr>
        <w:t> </w:t>
      </w:r>
      <w:r>
        <w:rPr/>
        <w:t>d’exploitation</w:t>
      </w:r>
      <w:r>
        <w:rPr>
          <w:spacing w:val="1"/>
        </w:rPr>
        <w:t> </w:t>
      </w:r>
      <w:r>
        <w:rPr/>
        <w:t>:</w:t>
        <w:tab/>
      </w:r>
      <w:r>
        <w:rPr>
          <w:b/>
        </w:rPr>
        <w:t>50.000 UM/Km² ;</w:t>
      </w:r>
    </w:p>
    <w:p>
      <w:pPr>
        <w:tabs>
          <w:tab w:pos="3568" w:val="left" w:leader="none"/>
        </w:tabs>
        <w:spacing w:before="2"/>
        <w:ind w:left="155" w:right="0" w:firstLine="0"/>
        <w:jc w:val="left"/>
        <w:rPr>
          <w:b/>
          <w:sz w:val="24"/>
        </w:rPr>
      </w:pPr>
      <w:r>
        <w:rPr>
          <w:sz w:val="24"/>
        </w:rPr>
        <w:t>Pour la carrière</w:t>
      </w:r>
      <w:r>
        <w:rPr>
          <w:spacing w:val="-1"/>
          <w:sz w:val="24"/>
        </w:rPr>
        <w:t> </w:t>
      </w:r>
      <w:r>
        <w:rPr>
          <w:sz w:val="24"/>
        </w:rPr>
        <w:t>industrielle </w:t>
      </w:r>
      <w:r>
        <w:rPr>
          <w:b/>
          <w:sz w:val="24"/>
        </w:rPr>
        <w:t>:</w:t>
        <w:tab/>
        <w:t>30.000 UM/Km² ;</w:t>
      </w:r>
    </w:p>
    <w:p>
      <w:pPr>
        <w:tabs>
          <w:tab w:pos="3613" w:val="left" w:leader="none"/>
        </w:tabs>
        <w:spacing w:before="0"/>
        <w:ind w:left="155" w:right="0" w:firstLine="0"/>
        <w:jc w:val="left"/>
        <w:rPr>
          <w:b/>
          <w:sz w:val="24"/>
        </w:rPr>
      </w:pPr>
      <w:r>
        <w:rPr>
          <w:sz w:val="24"/>
        </w:rPr>
        <w:t>Pour la petite exploitation</w:t>
      </w:r>
      <w:r>
        <w:rPr>
          <w:spacing w:val="1"/>
          <w:sz w:val="24"/>
        </w:rPr>
        <w:t> </w:t>
      </w:r>
      <w:r>
        <w:rPr>
          <w:b/>
          <w:sz w:val="24"/>
        </w:rPr>
        <w:t>:</w:t>
        <w:tab/>
        <w:t>20.000 UM/Km².</w:t>
      </w:r>
    </w:p>
    <w:p>
      <w:pPr>
        <w:spacing w:after="0"/>
        <w:jc w:val="left"/>
        <w:rPr>
          <w:sz w:val="24"/>
        </w:rPr>
        <w:sectPr>
          <w:pgSz w:w="11900" w:h="16840"/>
          <w:pgMar w:header="0" w:footer="794" w:top="1560" w:bottom="980" w:left="1260" w:right="1300"/>
        </w:sectPr>
      </w:pPr>
    </w:p>
    <w:p>
      <w:pPr>
        <w:pStyle w:val="BodyText"/>
        <w:spacing w:before="7"/>
        <w:rPr>
          <w:b/>
          <w:sz w:val="23"/>
        </w:rPr>
      </w:pPr>
    </w:p>
    <w:p>
      <w:pPr>
        <w:pStyle w:val="BodyText"/>
        <w:spacing w:before="92"/>
        <w:ind w:left="155" w:right="110"/>
        <w:jc w:val="both"/>
      </w:pPr>
      <w:r>
        <w:rPr/>
        <w:t>Les redevances superficiaires annuelles, visées aux alinéas 1 et 2 ci-dessus sont liquidées conformément aux dispositions du décret portant sur les titres miniers et de carrière. Ces redevances sont par la suite acquittées, au plus tard, à la date anniversaire de l'octroi du titre minier ou de carrière.</w:t>
      </w:r>
    </w:p>
    <w:p>
      <w:pPr>
        <w:pStyle w:val="BodyText"/>
      </w:pPr>
    </w:p>
    <w:p>
      <w:pPr>
        <w:pStyle w:val="BodyText"/>
        <w:ind w:left="155" w:right="109"/>
        <w:jc w:val="both"/>
      </w:pPr>
      <w:r>
        <w:rPr/>
        <w:t>Faute d’acquittement desdites redevances dans les délais prescrits, les dispositions du décret sur les titres miniers et de carrière relatives à l’annulation du titre s’appliquent.</w:t>
      </w:r>
    </w:p>
    <w:p>
      <w:pPr>
        <w:pStyle w:val="BodyText"/>
      </w:pPr>
    </w:p>
    <w:p>
      <w:pPr>
        <w:pStyle w:val="BodyText"/>
        <w:ind w:left="155" w:right="110"/>
        <w:jc w:val="both"/>
      </w:pPr>
      <w:r>
        <w:rPr/>
        <w:t>S’agissant des titres miniers et de carrière existants, les dispositions du présent article s’appliquent mutatis mutandis et ce, à compter du </w:t>
      </w:r>
      <w:r>
        <w:rPr>
          <w:b/>
        </w:rPr>
        <w:t>1</w:t>
      </w:r>
      <w:r>
        <w:rPr>
          <w:b/>
          <w:vertAlign w:val="superscript"/>
        </w:rPr>
        <w:t>er</w:t>
      </w:r>
      <w:r>
        <w:rPr>
          <w:b/>
          <w:vertAlign w:val="baseline"/>
        </w:rPr>
        <w:t> janvier 2009</w:t>
      </w:r>
      <w:r>
        <w:rPr>
          <w:vertAlign w:val="baseline"/>
        </w:rPr>
        <w:t>.</w:t>
      </w:r>
    </w:p>
    <w:p>
      <w:pPr>
        <w:pStyle w:val="BodyText"/>
        <w:rPr>
          <w:sz w:val="30"/>
        </w:rPr>
      </w:pPr>
    </w:p>
    <w:p>
      <w:pPr>
        <w:pStyle w:val="Heading1"/>
        <w:spacing w:before="207"/>
        <w:ind w:left="155"/>
      </w:pPr>
      <w:r>
        <w:rPr/>
        <w:t>Article 3 nouveau</w:t>
      </w:r>
    </w:p>
    <w:p>
      <w:pPr>
        <w:pStyle w:val="BodyText"/>
        <w:rPr>
          <w:b/>
        </w:rPr>
      </w:pPr>
    </w:p>
    <w:p>
      <w:pPr>
        <w:pStyle w:val="BodyText"/>
        <w:ind w:left="155" w:right="110"/>
        <w:jc w:val="both"/>
      </w:pPr>
      <w:r>
        <w:rPr/>
        <w:t>Le compte d'affectation spéciale créé par décret n° 96.067 du 9 octobre 1996 et intitulé "contribution des opérateurs miniers à la promotion de la recherche minière en Mauritanie", est alimenté par les recettes provenant</w:t>
      </w:r>
      <w:r>
        <w:rPr>
          <w:spacing w:val="5"/>
        </w:rPr>
        <w:t> </w:t>
      </w:r>
      <w:r>
        <w:rPr/>
        <w:t>:</w:t>
      </w:r>
    </w:p>
    <w:p>
      <w:pPr>
        <w:pStyle w:val="BodyText"/>
      </w:pPr>
    </w:p>
    <w:p>
      <w:pPr>
        <w:pStyle w:val="ListParagraph"/>
        <w:numPr>
          <w:ilvl w:val="1"/>
          <w:numId w:val="1"/>
        </w:numPr>
        <w:tabs>
          <w:tab w:pos="1510" w:val="left" w:leader="none"/>
        </w:tabs>
        <w:spacing w:line="240" w:lineRule="auto" w:before="0" w:after="0"/>
        <w:ind w:left="1509" w:right="110" w:hanging="360"/>
        <w:jc w:val="left"/>
        <w:rPr>
          <w:sz w:val="24"/>
        </w:rPr>
      </w:pPr>
      <w:r>
        <w:rPr>
          <w:sz w:val="24"/>
        </w:rPr>
        <w:t>Des droits de réception prévus par le décret portant sur les titres  miniers et de</w:t>
      </w:r>
      <w:r>
        <w:rPr>
          <w:spacing w:val="2"/>
          <w:sz w:val="24"/>
        </w:rPr>
        <w:t> </w:t>
      </w:r>
      <w:r>
        <w:rPr>
          <w:sz w:val="24"/>
        </w:rPr>
        <w:t>carrière;</w:t>
      </w:r>
    </w:p>
    <w:p>
      <w:pPr>
        <w:pStyle w:val="BodyText"/>
      </w:pPr>
    </w:p>
    <w:p>
      <w:pPr>
        <w:pStyle w:val="ListParagraph"/>
        <w:numPr>
          <w:ilvl w:val="1"/>
          <w:numId w:val="1"/>
        </w:numPr>
        <w:tabs>
          <w:tab w:pos="1510" w:val="left" w:leader="none"/>
        </w:tabs>
        <w:spacing w:line="240" w:lineRule="auto" w:before="0" w:after="0"/>
        <w:ind w:left="1509" w:right="107" w:hanging="360"/>
        <w:jc w:val="left"/>
        <w:rPr>
          <w:sz w:val="24"/>
        </w:rPr>
      </w:pPr>
      <w:r>
        <w:rPr>
          <w:sz w:val="24"/>
        </w:rPr>
        <w:t>Des droits rémunératoires et redevances superficiaires visées aux articles 1 et 2 nouveaux</w:t>
      </w:r>
      <w:r>
        <w:rPr>
          <w:spacing w:val="1"/>
          <w:sz w:val="24"/>
        </w:rPr>
        <w:t> </w:t>
      </w:r>
      <w:r>
        <w:rPr>
          <w:sz w:val="24"/>
        </w:rPr>
        <w:t>ci-dessus.</w:t>
      </w:r>
    </w:p>
    <w:p>
      <w:pPr>
        <w:pStyle w:val="BodyText"/>
      </w:pPr>
    </w:p>
    <w:p>
      <w:pPr>
        <w:pStyle w:val="Heading1"/>
        <w:ind w:left="155"/>
      </w:pPr>
      <w:r>
        <w:rPr/>
        <w:t>Article 4 nouveau</w:t>
      </w:r>
    </w:p>
    <w:p>
      <w:pPr>
        <w:pStyle w:val="BodyText"/>
        <w:rPr>
          <w:b/>
          <w:sz w:val="26"/>
        </w:rPr>
      </w:pPr>
    </w:p>
    <w:p>
      <w:pPr>
        <w:pStyle w:val="BodyText"/>
        <w:rPr>
          <w:b/>
          <w:sz w:val="22"/>
        </w:rPr>
      </w:pPr>
    </w:p>
    <w:p>
      <w:pPr>
        <w:pStyle w:val="BodyText"/>
        <w:spacing w:before="1"/>
        <w:ind w:left="155" w:right="109"/>
        <w:jc w:val="both"/>
      </w:pPr>
      <w:r>
        <w:rPr/>
        <w:t>Les grandes catégories de dépenses qui sont effectuées sur ledit compte sont les suivantes :</w:t>
      </w:r>
    </w:p>
    <w:p>
      <w:pPr>
        <w:pStyle w:val="BodyText"/>
        <w:rPr>
          <w:sz w:val="26"/>
        </w:rPr>
      </w:pPr>
    </w:p>
    <w:p>
      <w:pPr>
        <w:pStyle w:val="BodyText"/>
        <w:spacing w:before="9"/>
        <w:rPr>
          <w:sz w:val="22"/>
        </w:rPr>
      </w:pPr>
    </w:p>
    <w:p>
      <w:pPr>
        <w:pStyle w:val="ListParagraph"/>
        <w:numPr>
          <w:ilvl w:val="0"/>
          <w:numId w:val="2"/>
        </w:numPr>
        <w:tabs>
          <w:tab w:pos="864" w:val="left" w:leader="none"/>
        </w:tabs>
        <w:spacing w:line="235" w:lineRule="auto" w:before="0" w:after="0"/>
        <w:ind w:left="876" w:right="109" w:hanging="423"/>
        <w:jc w:val="both"/>
        <w:rPr>
          <w:sz w:val="24"/>
        </w:rPr>
      </w:pPr>
      <w:r>
        <w:rPr>
          <w:sz w:val="24"/>
        </w:rPr>
        <w:t>Le fonctionnement des structures chargées du Cadastre minier et des systèmes d’information géologique et minière (SIGM) et d’information et de gestion environnementale (SIGE)</w:t>
      </w:r>
      <w:r>
        <w:rPr>
          <w:spacing w:val="1"/>
          <w:sz w:val="24"/>
        </w:rPr>
        <w:t> </w:t>
      </w:r>
      <w:r>
        <w:rPr>
          <w:sz w:val="24"/>
        </w:rPr>
        <w:t>;</w:t>
      </w:r>
    </w:p>
    <w:p>
      <w:pPr>
        <w:pStyle w:val="BodyText"/>
        <w:spacing w:before="5"/>
        <w:rPr>
          <w:sz w:val="25"/>
        </w:rPr>
      </w:pPr>
    </w:p>
    <w:p>
      <w:pPr>
        <w:pStyle w:val="ListParagraph"/>
        <w:numPr>
          <w:ilvl w:val="0"/>
          <w:numId w:val="2"/>
        </w:numPr>
        <w:tabs>
          <w:tab w:pos="864" w:val="left" w:leader="none"/>
        </w:tabs>
        <w:spacing w:line="228" w:lineRule="auto" w:before="0" w:after="0"/>
        <w:ind w:left="876" w:right="109" w:hanging="423"/>
        <w:jc w:val="both"/>
        <w:rPr>
          <w:sz w:val="24"/>
        </w:rPr>
      </w:pPr>
      <w:r>
        <w:rPr>
          <w:sz w:val="24"/>
        </w:rPr>
        <w:t>Le contrôle et le suivi des activités de recherche et de développement des sociétés minières ;</w:t>
      </w:r>
    </w:p>
    <w:p>
      <w:pPr>
        <w:pStyle w:val="BodyText"/>
        <w:spacing w:before="2"/>
        <w:rPr>
          <w:sz w:val="25"/>
        </w:rPr>
      </w:pPr>
    </w:p>
    <w:p>
      <w:pPr>
        <w:pStyle w:val="ListParagraph"/>
        <w:numPr>
          <w:ilvl w:val="0"/>
          <w:numId w:val="2"/>
        </w:numPr>
        <w:tabs>
          <w:tab w:pos="864" w:val="left" w:leader="none"/>
        </w:tabs>
        <w:spacing w:line="232" w:lineRule="auto" w:before="0" w:after="0"/>
        <w:ind w:left="876" w:right="110" w:hanging="423"/>
        <w:jc w:val="both"/>
        <w:rPr>
          <w:sz w:val="24"/>
        </w:rPr>
      </w:pPr>
      <w:r>
        <w:rPr>
          <w:sz w:val="24"/>
        </w:rPr>
        <w:t>La constitution et la mise à jour de banques de données géologiques et l’élaboration de supports d’informations et de communications destinés à la promotion minière</w:t>
      </w:r>
      <w:r>
        <w:rPr>
          <w:spacing w:val="2"/>
          <w:sz w:val="24"/>
        </w:rPr>
        <w:t> </w:t>
      </w:r>
      <w:r>
        <w:rPr>
          <w:sz w:val="24"/>
        </w:rPr>
        <w:t>;</w:t>
      </w:r>
    </w:p>
    <w:p>
      <w:pPr>
        <w:pStyle w:val="BodyText"/>
        <w:spacing w:before="7"/>
      </w:pPr>
    </w:p>
    <w:p>
      <w:pPr>
        <w:pStyle w:val="ListParagraph"/>
        <w:numPr>
          <w:ilvl w:val="0"/>
          <w:numId w:val="2"/>
        </w:numPr>
        <w:tabs>
          <w:tab w:pos="863" w:val="left" w:leader="none"/>
          <w:tab w:pos="864" w:val="left" w:leader="none"/>
        </w:tabs>
        <w:spacing w:line="240" w:lineRule="auto" w:before="0" w:after="0"/>
        <w:ind w:left="864" w:right="0" w:hanging="411"/>
        <w:jc w:val="left"/>
        <w:rPr>
          <w:sz w:val="24"/>
        </w:rPr>
      </w:pPr>
      <w:r>
        <w:rPr>
          <w:sz w:val="24"/>
        </w:rPr>
        <w:t>Le fonctionnement des structures chargées de la promotion du</w:t>
      </w:r>
      <w:r>
        <w:rPr>
          <w:spacing w:val="12"/>
          <w:sz w:val="24"/>
        </w:rPr>
        <w:t> </w:t>
      </w:r>
      <w:r>
        <w:rPr>
          <w:sz w:val="24"/>
        </w:rPr>
        <w:t>secteur.</w:t>
      </w:r>
    </w:p>
    <w:p>
      <w:pPr>
        <w:spacing w:after="0" w:line="240" w:lineRule="auto"/>
        <w:jc w:val="left"/>
        <w:rPr>
          <w:sz w:val="24"/>
        </w:rPr>
        <w:sectPr>
          <w:pgSz w:w="11900" w:h="16840"/>
          <w:pgMar w:header="0" w:footer="794" w:top="1600" w:bottom="980" w:left="1260" w:right="1300"/>
        </w:sectPr>
      </w:pPr>
    </w:p>
    <w:p>
      <w:pPr>
        <w:pStyle w:val="BodyText"/>
        <w:spacing w:before="87"/>
        <w:ind w:left="155"/>
      </w:pPr>
      <w:r>
        <w:rPr>
          <w:b/>
          <w:u w:val="thick"/>
        </w:rPr>
        <w:t>Article 2</w:t>
      </w:r>
      <w:r>
        <w:rPr>
          <w:b/>
        </w:rPr>
        <w:t> : </w:t>
      </w:r>
      <w:r>
        <w:rPr/>
        <w:t>Les recettes visées à l'article 3 nouveau ci-dessus sont réparties comme suit :</w:t>
      </w:r>
    </w:p>
    <w:p>
      <w:pPr>
        <w:pStyle w:val="BodyText"/>
        <w:spacing w:before="1"/>
        <w:rPr>
          <w:sz w:val="12"/>
        </w:rPr>
      </w:pPr>
    </w:p>
    <w:p>
      <w:pPr>
        <w:pStyle w:val="ListParagraph"/>
        <w:numPr>
          <w:ilvl w:val="1"/>
          <w:numId w:val="2"/>
        </w:numPr>
        <w:tabs>
          <w:tab w:pos="1235" w:val="left" w:leader="none"/>
          <w:tab w:pos="1236" w:val="left" w:leader="none"/>
        </w:tabs>
        <w:spacing w:line="277" w:lineRule="exact" w:before="92" w:after="0"/>
        <w:ind w:left="1236" w:right="0" w:hanging="360"/>
        <w:jc w:val="left"/>
        <w:rPr>
          <w:sz w:val="24"/>
        </w:rPr>
      </w:pPr>
      <w:r>
        <w:rPr>
          <w:b/>
          <w:sz w:val="24"/>
        </w:rPr>
        <w:t>60% </w:t>
      </w:r>
      <w:r>
        <w:rPr>
          <w:sz w:val="24"/>
        </w:rPr>
        <w:t>pour le Budget de l'Etat;</w:t>
      </w:r>
    </w:p>
    <w:p>
      <w:pPr>
        <w:pStyle w:val="ListParagraph"/>
        <w:numPr>
          <w:ilvl w:val="1"/>
          <w:numId w:val="2"/>
        </w:numPr>
        <w:tabs>
          <w:tab w:pos="1235" w:val="left" w:leader="none"/>
          <w:tab w:pos="1236" w:val="left" w:leader="none"/>
        </w:tabs>
        <w:spacing w:line="277" w:lineRule="exact" w:before="0" w:after="0"/>
        <w:ind w:left="1236" w:right="0" w:hanging="360"/>
        <w:jc w:val="left"/>
        <w:rPr>
          <w:sz w:val="24"/>
        </w:rPr>
      </w:pPr>
      <w:r>
        <w:rPr>
          <w:b/>
          <w:sz w:val="24"/>
        </w:rPr>
        <w:t>40% </w:t>
      </w:r>
      <w:r>
        <w:rPr>
          <w:sz w:val="24"/>
        </w:rPr>
        <w:t>pour le Ministère chargé des Mines.</w:t>
      </w:r>
    </w:p>
    <w:p>
      <w:pPr>
        <w:pStyle w:val="BodyText"/>
        <w:spacing w:before="10"/>
        <w:rPr>
          <w:sz w:val="23"/>
        </w:rPr>
      </w:pPr>
    </w:p>
    <w:p>
      <w:pPr>
        <w:pStyle w:val="BodyText"/>
        <w:ind w:left="156" w:right="110"/>
        <w:jc w:val="both"/>
      </w:pPr>
      <w:r>
        <w:rPr/>
        <w:t>Un arrêté du Ministre chargé des Mines fixera la clé de répartition du montant alloué à son Département pour le fonctionnement de différentes structures chargées de gestion des titres miniers et de carrière et de promotion</w:t>
      </w:r>
      <w:r>
        <w:rPr>
          <w:spacing w:val="7"/>
        </w:rPr>
        <w:t> </w:t>
      </w:r>
      <w:r>
        <w:rPr/>
        <w:t>minière.</w:t>
      </w:r>
    </w:p>
    <w:p>
      <w:pPr>
        <w:pStyle w:val="BodyText"/>
      </w:pPr>
    </w:p>
    <w:p>
      <w:pPr>
        <w:pStyle w:val="BodyText"/>
        <w:ind w:left="155" w:right="110"/>
        <w:jc w:val="both"/>
      </w:pPr>
      <w:r>
        <w:rPr>
          <w:b/>
          <w:u w:val="thick"/>
        </w:rPr>
        <w:t>Article 3</w:t>
      </w:r>
      <w:r>
        <w:rPr>
          <w:b/>
        </w:rPr>
        <w:t> : </w:t>
      </w:r>
      <w:r>
        <w:rPr/>
        <w:t>Sont abrogées toutes les dispositions antérieures contraires au présent décret notamment celles du décret n° 2003.002 du 14 Janvier 2003.</w:t>
      </w:r>
    </w:p>
    <w:p>
      <w:pPr>
        <w:pStyle w:val="BodyText"/>
        <w:spacing w:before="1"/>
      </w:pPr>
    </w:p>
    <w:p>
      <w:pPr>
        <w:pStyle w:val="BodyText"/>
        <w:ind w:left="156" w:right="110" w:hanging="1"/>
        <w:jc w:val="both"/>
      </w:pPr>
      <w:r>
        <w:rPr>
          <w:b/>
          <w:u w:val="thick"/>
        </w:rPr>
        <w:t>Article 4</w:t>
      </w:r>
      <w:r>
        <w:rPr>
          <w:b/>
        </w:rPr>
        <w:t> </w:t>
      </w:r>
      <w:r>
        <w:rPr>
          <w:sz w:val="28"/>
        </w:rPr>
        <w:t>: </w:t>
      </w:r>
      <w:r>
        <w:rPr/>
        <w:t>Le Ministre de l’Industrie et des Mines et le Ministre des Finances sont chargés, chacun en ce qui le concerne, de l'exécution du présent décret qui sera publié au Journal Officiel de la République Islamique de Mauritanie.</w:t>
      </w:r>
    </w:p>
    <w:p>
      <w:pPr>
        <w:pStyle w:val="BodyText"/>
        <w:spacing w:before="10"/>
        <w:rPr>
          <w:sz w:val="27"/>
        </w:rPr>
      </w:pPr>
    </w:p>
    <w:p>
      <w:pPr>
        <w:pStyle w:val="BodyText"/>
        <w:ind w:left="4874"/>
      </w:pPr>
      <w:r>
        <w:rPr/>
        <w:t>Nouakchott, le 4 Novembre 2008</w:t>
      </w:r>
    </w:p>
    <w:p>
      <w:pPr>
        <w:pStyle w:val="BodyText"/>
        <w:rPr>
          <w:sz w:val="26"/>
        </w:rPr>
      </w:pPr>
    </w:p>
    <w:p>
      <w:pPr>
        <w:pStyle w:val="BodyText"/>
        <w:spacing w:before="2"/>
        <w:rPr>
          <w:sz w:val="30"/>
        </w:rPr>
      </w:pPr>
    </w:p>
    <w:p>
      <w:pPr>
        <w:pStyle w:val="Heading1"/>
        <w:ind w:left="2988"/>
      </w:pPr>
      <w:r>
        <w:rPr/>
        <w:t>MOULAY OULD MOHAMED LAGDHAF</w:t>
      </w: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tabs>
          <w:tab w:pos="6004" w:val="left" w:leader="none"/>
        </w:tabs>
        <w:spacing w:before="184"/>
        <w:ind w:left="155"/>
        <w:jc w:val="both"/>
      </w:pPr>
      <w:r>
        <w:rPr/>
        <w:t>Le Ministre de l’Industrie et</w:t>
      </w:r>
      <w:r>
        <w:rPr>
          <w:spacing w:val="-5"/>
        </w:rPr>
        <w:t> </w:t>
      </w:r>
      <w:r>
        <w:rPr/>
        <w:t>des</w:t>
      </w:r>
      <w:r>
        <w:rPr>
          <w:spacing w:val="-1"/>
        </w:rPr>
        <w:t> </w:t>
      </w:r>
      <w:r>
        <w:rPr/>
        <w:t>Mines</w:t>
        <w:tab/>
        <w:t>Le Ministre des Finances</w:t>
      </w:r>
    </w:p>
    <w:p>
      <w:pPr>
        <w:pStyle w:val="BodyText"/>
        <w:spacing w:before="10"/>
        <w:rPr>
          <w:sz w:val="23"/>
        </w:rPr>
      </w:pPr>
    </w:p>
    <w:p>
      <w:pPr>
        <w:tabs>
          <w:tab w:pos="6071" w:val="left" w:leader="none"/>
        </w:tabs>
        <w:spacing w:before="0"/>
        <w:ind w:left="170" w:right="0" w:firstLine="0"/>
        <w:jc w:val="both"/>
        <w:rPr>
          <w:b/>
          <w:sz w:val="20"/>
        </w:rPr>
      </w:pPr>
      <w:r>
        <w:rPr>
          <w:b/>
          <w:sz w:val="20"/>
        </w:rPr>
        <w:t>MOHAMED ABDELLAHI OULD</w:t>
      </w:r>
      <w:r>
        <w:rPr>
          <w:b/>
          <w:spacing w:val="-3"/>
          <w:sz w:val="20"/>
        </w:rPr>
        <w:t> </w:t>
      </w:r>
      <w:r>
        <w:rPr>
          <w:b/>
          <w:sz w:val="20"/>
        </w:rPr>
        <w:t>OUDAA</w:t>
        <w:tab/>
        <w:t>SIDI AHMED OULD</w:t>
      </w:r>
      <w:r>
        <w:rPr>
          <w:b/>
          <w:spacing w:val="1"/>
          <w:sz w:val="20"/>
        </w:rPr>
        <w:t> </w:t>
      </w:r>
      <w:r>
        <w:rPr>
          <w:b/>
          <w:sz w:val="20"/>
        </w:rPr>
        <w:t>RAISS</w: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6"/>
        <w:rPr>
          <w:b/>
          <w:sz w:val="16"/>
        </w:rPr>
      </w:pPr>
    </w:p>
    <w:tbl>
      <w:tblPr>
        <w:tblW w:w="0" w:type="auto"/>
        <w:jc w:val="left"/>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467"/>
        <w:gridCol w:w="1060"/>
        <w:gridCol w:w="1369"/>
      </w:tblGrid>
      <w:tr>
        <w:trPr>
          <w:trHeight w:val="206" w:hRule="atLeast"/>
        </w:trPr>
        <w:tc>
          <w:tcPr>
            <w:tcW w:w="1467" w:type="dxa"/>
          </w:tcPr>
          <w:p>
            <w:pPr>
              <w:pStyle w:val="TableParagraph"/>
              <w:spacing w:line="186" w:lineRule="exact"/>
              <w:rPr>
                <w:sz w:val="18"/>
              </w:rPr>
            </w:pPr>
            <w:r>
              <w:rPr>
                <w:b/>
                <w:sz w:val="18"/>
                <w:u w:val="single"/>
              </w:rPr>
              <w:t>Ampliations</w:t>
            </w:r>
            <w:r>
              <w:rPr>
                <w:b/>
                <w:sz w:val="18"/>
              </w:rPr>
              <w:t> </w:t>
            </w:r>
            <w:r>
              <w:rPr>
                <w:sz w:val="18"/>
              </w:rPr>
              <w:t>:</w:t>
            </w:r>
          </w:p>
        </w:tc>
        <w:tc>
          <w:tcPr>
            <w:tcW w:w="1060" w:type="dxa"/>
          </w:tcPr>
          <w:p>
            <w:pPr>
              <w:pStyle w:val="TableParagraph"/>
              <w:ind w:left="0"/>
              <w:rPr>
                <w:rFonts w:ascii="Times New Roman"/>
                <w:sz w:val="14"/>
              </w:rPr>
            </w:pPr>
          </w:p>
        </w:tc>
        <w:tc>
          <w:tcPr>
            <w:tcW w:w="1369" w:type="dxa"/>
            <w:vMerge w:val="restart"/>
          </w:tcPr>
          <w:p>
            <w:pPr>
              <w:pStyle w:val="TableParagraph"/>
              <w:ind w:left="0"/>
              <w:rPr>
                <w:rFonts w:ascii="Times New Roman"/>
                <w:sz w:val="22"/>
              </w:rPr>
            </w:pPr>
          </w:p>
        </w:tc>
      </w:tr>
      <w:tr>
        <w:trPr>
          <w:trHeight w:val="208" w:hRule="atLeast"/>
        </w:trPr>
        <w:tc>
          <w:tcPr>
            <w:tcW w:w="1467" w:type="dxa"/>
          </w:tcPr>
          <w:p>
            <w:pPr>
              <w:pStyle w:val="TableParagraph"/>
              <w:spacing w:line="189" w:lineRule="exact"/>
              <w:rPr>
                <w:sz w:val="18"/>
              </w:rPr>
            </w:pPr>
            <w:r>
              <w:rPr>
                <w:sz w:val="18"/>
              </w:rPr>
              <w:t>PRHCE/MSG</w:t>
            </w:r>
          </w:p>
        </w:tc>
        <w:tc>
          <w:tcPr>
            <w:tcW w:w="1060" w:type="dxa"/>
          </w:tcPr>
          <w:p>
            <w:pPr>
              <w:pStyle w:val="TableParagraph"/>
              <w:spacing w:line="189" w:lineRule="exact"/>
              <w:ind w:left="301"/>
              <w:rPr>
                <w:sz w:val="18"/>
              </w:rPr>
            </w:pPr>
            <w:r>
              <w:rPr>
                <w:w w:val="99"/>
                <w:sz w:val="18"/>
              </w:rPr>
              <w:t>2</w:t>
            </w:r>
          </w:p>
        </w:tc>
        <w:tc>
          <w:tcPr>
            <w:tcW w:w="1369" w:type="dxa"/>
            <w:vMerge/>
            <w:tcBorders>
              <w:top w:val="nil"/>
            </w:tcBorders>
          </w:tcPr>
          <w:p>
            <w:pPr>
              <w:rPr>
                <w:sz w:val="2"/>
                <w:szCs w:val="2"/>
              </w:rPr>
            </w:pPr>
          </w:p>
        </w:tc>
      </w:tr>
      <w:tr>
        <w:trPr>
          <w:trHeight w:val="203" w:hRule="atLeast"/>
        </w:trPr>
        <w:tc>
          <w:tcPr>
            <w:tcW w:w="1467" w:type="dxa"/>
          </w:tcPr>
          <w:p>
            <w:pPr>
              <w:pStyle w:val="TableParagraph"/>
              <w:spacing w:line="184" w:lineRule="exact"/>
              <w:rPr>
                <w:sz w:val="18"/>
              </w:rPr>
            </w:pPr>
            <w:r>
              <w:rPr>
                <w:sz w:val="18"/>
              </w:rPr>
              <w:t>PM/MSG</w:t>
            </w:r>
          </w:p>
        </w:tc>
        <w:tc>
          <w:tcPr>
            <w:tcW w:w="1060" w:type="dxa"/>
          </w:tcPr>
          <w:p>
            <w:pPr>
              <w:pStyle w:val="TableParagraph"/>
              <w:spacing w:line="184" w:lineRule="exact"/>
              <w:ind w:left="301"/>
              <w:rPr>
                <w:sz w:val="18"/>
              </w:rPr>
            </w:pPr>
            <w:r>
              <w:rPr>
                <w:w w:val="99"/>
                <w:sz w:val="18"/>
              </w:rPr>
              <w:t>2</w:t>
            </w:r>
          </w:p>
        </w:tc>
        <w:tc>
          <w:tcPr>
            <w:tcW w:w="1369" w:type="dxa"/>
            <w:vMerge/>
            <w:tcBorders>
              <w:top w:val="nil"/>
            </w:tcBorders>
          </w:tcPr>
          <w:p>
            <w:pPr>
              <w:rPr>
                <w:sz w:val="2"/>
                <w:szCs w:val="2"/>
              </w:rPr>
            </w:pPr>
          </w:p>
        </w:tc>
      </w:tr>
      <w:tr>
        <w:trPr>
          <w:trHeight w:val="207" w:hRule="atLeast"/>
        </w:trPr>
        <w:tc>
          <w:tcPr>
            <w:tcW w:w="1467" w:type="dxa"/>
          </w:tcPr>
          <w:p>
            <w:pPr>
              <w:pStyle w:val="TableParagraph"/>
              <w:spacing w:line="188" w:lineRule="exact"/>
              <w:rPr>
                <w:sz w:val="18"/>
              </w:rPr>
            </w:pPr>
            <w:r>
              <w:rPr>
                <w:sz w:val="18"/>
              </w:rPr>
              <w:t>MF</w:t>
            </w:r>
          </w:p>
        </w:tc>
        <w:tc>
          <w:tcPr>
            <w:tcW w:w="1060" w:type="dxa"/>
          </w:tcPr>
          <w:p>
            <w:pPr>
              <w:pStyle w:val="TableParagraph"/>
              <w:spacing w:line="188" w:lineRule="exact"/>
              <w:ind w:left="301"/>
              <w:rPr>
                <w:sz w:val="18"/>
              </w:rPr>
            </w:pPr>
            <w:r>
              <w:rPr>
                <w:w w:val="99"/>
                <w:sz w:val="18"/>
              </w:rPr>
              <w:t>2</w:t>
            </w:r>
          </w:p>
        </w:tc>
        <w:tc>
          <w:tcPr>
            <w:tcW w:w="1369" w:type="dxa"/>
          </w:tcPr>
          <w:p>
            <w:pPr>
              <w:pStyle w:val="TableParagraph"/>
              <w:spacing w:line="188" w:lineRule="exact"/>
              <w:ind w:left="657"/>
              <w:rPr>
                <w:b/>
                <w:sz w:val="18"/>
              </w:rPr>
            </w:pPr>
            <w:r>
              <w:rPr>
                <w:b/>
                <w:sz w:val="18"/>
              </w:rPr>
              <w:t>P.C.C.C</w:t>
            </w:r>
          </w:p>
        </w:tc>
      </w:tr>
      <w:tr>
        <w:trPr>
          <w:trHeight w:val="207" w:hRule="atLeast"/>
        </w:trPr>
        <w:tc>
          <w:tcPr>
            <w:tcW w:w="1467" w:type="dxa"/>
          </w:tcPr>
          <w:p>
            <w:pPr>
              <w:pStyle w:val="TableParagraph"/>
              <w:spacing w:line="187" w:lineRule="exact"/>
              <w:rPr>
                <w:sz w:val="18"/>
              </w:rPr>
            </w:pPr>
            <w:r>
              <w:rPr>
                <w:sz w:val="18"/>
              </w:rPr>
              <w:t>MIM</w:t>
            </w:r>
          </w:p>
        </w:tc>
        <w:tc>
          <w:tcPr>
            <w:tcW w:w="1060" w:type="dxa"/>
          </w:tcPr>
          <w:p>
            <w:pPr>
              <w:pStyle w:val="TableParagraph"/>
              <w:spacing w:line="187" w:lineRule="exact"/>
              <w:ind w:left="283"/>
              <w:rPr>
                <w:sz w:val="18"/>
              </w:rPr>
            </w:pPr>
            <w:r>
              <w:rPr>
                <w:w w:val="99"/>
                <w:sz w:val="18"/>
              </w:rPr>
              <w:t>2</w:t>
            </w:r>
          </w:p>
        </w:tc>
        <w:tc>
          <w:tcPr>
            <w:tcW w:w="1369" w:type="dxa"/>
          </w:tcPr>
          <w:p>
            <w:pPr>
              <w:pStyle w:val="TableParagraph"/>
              <w:ind w:left="0"/>
              <w:rPr>
                <w:rFonts w:ascii="Times New Roman"/>
                <w:sz w:val="14"/>
              </w:rPr>
            </w:pPr>
          </w:p>
        </w:tc>
      </w:tr>
    </w:tbl>
    <w:p>
      <w:pPr>
        <w:tabs>
          <w:tab w:pos="1838" w:val="left" w:leader="none"/>
          <w:tab w:pos="2437" w:val="left" w:leader="none"/>
        </w:tabs>
        <w:spacing w:line="206" w:lineRule="exact" w:before="0"/>
        <w:ind w:left="155" w:right="0" w:firstLine="0"/>
        <w:jc w:val="left"/>
        <w:rPr>
          <w:sz w:val="18"/>
        </w:rPr>
      </w:pPr>
      <w:r>
        <w:rPr>
          <w:sz w:val="18"/>
        </w:rPr>
        <w:t>Tous</w:t>
      </w:r>
      <w:r>
        <w:rPr>
          <w:spacing w:val="-2"/>
          <w:sz w:val="18"/>
        </w:rPr>
        <w:t> </w:t>
      </w:r>
      <w:r>
        <w:rPr>
          <w:sz w:val="18"/>
        </w:rPr>
        <w:t>Départs</w:t>
        <w:tab/>
        <w:t>30</w:t>
        <w:tab/>
        <w:t>Le Secrétaire Général du</w:t>
      </w:r>
      <w:r>
        <w:rPr>
          <w:spacing w:val="3"/>
          <w:sz w:val="18"/>
        </w:rPr>
        <w:t> </w:t>
      </w:r>
      <w:r>
        <w:rPr>
          <w:sz w:val="18"/>
        </w:rPr>
        <w:t>Gouvernement</w:t>
      </w:r>
    </w:p>
    <w:tbl>
      <w:tblPr>
        <w:tblW w:w="0" w:type="auto"/>
        <w:jc w:val="left"/>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230"/>
        <w:gridCol w:w="1338"/>
        <w:gridCol w:w="1724"/>
      </w:tblGrid>
      <w:tr>
        <w:trPr>
          <w:trHeight w:val="206" w:hRule="atLeast"/>
        </w:trPr>
        <w:tc>
          <w:tcPr>
            <w:tcW w:w="1230" w:type="dxa"/>
          </w:tcPr>
          <w:p>
            <w:pPr>
              <w:pStyle w:val="TableParagraph"/>
              <w:spacing w:line="186" w:lineRule="exact"/>
              <w:rPr>
                <w:sz w:val="18"/>
              </w:rPr>
            </w:pPr>
            <w:r>
              <w:rPr>
                <w:sz w:val="18"/>
              </w:rPr>
              <w:t>J.O</w:t>
            </w:r>
          </w:p>
        </w:tc>
        <w:tc>
          <w:tcPr>
            <w:tcW w:w="1338" w:type="dxa"/>
          </w:tcPr>
          <w:p>
            <w:pPr>
              <w:pStyle w:val="TableParagraph"/>
              <w:spacing w:line="186" w:lineRule="exact"/>
              <w:ind w:left="487"/>
              <w:rPr>
                <w:sz w:val="18"/>
              </w:rPr>
            </w:pPr>
            <w:r>
              <w:rPr>
                <w:w w:val="99"/>
                <w:sz w:val="18"/>
              </w:rPr>
              <w:t>3</w:t>
            </w:r>
          </w:p>
        </w:tc>
        <w:tc>
          <w:tcPr>
            <w:tcW w:w="1724" w:type="dxa"/>
          </w:tcPr>
          <w:p>
            <w:pPr>
              <w:pStyle w:val="TableParagraph"/>
              <w:spacing w:line="186" w:lineRule="exact"/>
              <w:ind w:left="450"/>
              <w:rPr>
                <w:b/>
                <w:sz w:val="18"/>
              </w:rPr>
            </w:pPr>
            <w:r>
              <w:rPr>
                <w:b/>
                <w:sz w:val="18"/>
              </w:rPr>
              <w:t>BA OUSMANE</w:t>
            </w:r>
          </w:p>
        </w:tc>
      </w:tr>
      <w:tr>
        <w:trPr>
          <w:trHeight w:val="209" w:hRule="atLeast"/>
        </w:trPr>
        <w:tc>
          <w:tcPr>
            <w:tcW w:w="1230" w:type="dxa"/>
          </w:tcPr>
          <w:p>
            <w:pPr>
              <w:pStyle w:val="TableParagraph"/>
              <w:spacing w:line="190" w:lineRule="exact"/>
              <w:rPr>
                <w:sz w:val="18"/>
              </w:rPr>
            </w:pPr>
            <w:r>
              <w:rPr>
                <w:sz w:val="18"/>
              </w:rPr>
              <w:t>Archives</w:t>
            </w:r>
          </w:p>
        </w:tc>
        <w:tc>
          <w:tcPr>
            <w:tcW w:w="1338" w:type="dxa"/>
          </w:tcPr>
          <w:p>
            <w:pPr>
              <w:pStyle w:val="TableParagraph"/>
              <w:spacing w:line="190" w:lineRule="exact"/>
              <w:ind w:left="487"/>
              <w:rPr>
                <w:sz w:val="18"/>
              </w:rPr>
            </w:pPr>
            <w:r>
              <w:rPr>
                <w:w w:val="99"/>
                <w:sz w:val="18"/>
              </w:rPr>
              <w:t>2</w:t>
            </w:r>
          </w:p>
        </w:tc>
        <w:tc>
          <w:tcPr>
            <w:tcW w:w="1724" w:type="dxa"/>
          </w:tcPr>
          <w:p>
            <w:pPr>
              <w:pStyle w:val="TableParagraph"/>
              <w:ind w:left="0"/>
              <w:rPr>
                <w:rFonts w:ascii="Times New Roman"/>
                <w:sz w:val="14"/>
              </w:rPr>
            </w:pPr>
          </w:p>
        </w:tc>
      </w:tr>
      <w:tr>
        <w:trPr>
          <w:trHeight w:val="207" w:hRule="atLeast"/>
        </w:trPr>
        <w:tc>
          <w:tcPr>
            <w:tcW w:w="1230" w:type="dxa"/>
          </w:tcPr>
          <w:p>
            <w:pPr>
              <w:pStyle w:val="TableParagraph"/>
              <w:spacing w:line="188" w:lineRule="exact"/>
              <w:rPr>
                <w:sz w:val="18"/>
              </w:rPr>
            </w:pPr>
            <w:r>
              <w:rPr>
                <w:sz w:val="18"/>
              </w:rPr>
              <w:t>DMG</w:t>
            </w:r>
          </w:p>
        </w:tc>
        <w:tc>
          <w:tcPr>
            <w:tcW w:w="1338" w:type="dxa"/>
          </w:tcPr>
          <w:p>
            <w:pPr>
              <w:pStyle w:val="TableParagraph"/>
              <w:spacing w:line="188" w:lineRule="exact"/>
              <w:ind w:left="487"/>
              <w:rPr>
                <w:sz w:val="18"/>
              </w:rPr>
            </w:pPr>
            <w:r>
              <w:rPr>
                <w:w w:val="99"/>
                <w:sz w:val="18"/>
              </w:rPr>
              <w:t>2</w:t>
            </w:r>
          </w:p>
        </w:tc>
        <w:tc>
          <w:tcPr>
            <w:tcW w:w="1724" w:type="dxa"/>
          </w:tcPr>
          <w:p>
            <w:pPr>
              <w:pStyle w:val="TableParagraph"/>
              <w:ind w:left="0"/>
              <w:rPr>
                <w:rFonts w:ascii="Times New Roman"/>
                <w:sz w:val="14"/>
              </w:rPr>
            </w:pPr>
          </w:p>
        </w:tc>
      </w:tr>
      <w:tr>
        <w:trPr>
          <w:trHeight w:val="427" w:hRule="atLeast"/>
        </w:trPr>
        <w:tc>
          <w:tcPr>
            <w:tcW w:w="1230" w:type="dxa"/>
          </w:tcPr>
          <w:p>
            <w:pPr>
              <w:pStyle w:val="TableParagraph"/>
              <w:spacing w:line="201" w:lineRule="exact"/>
              <w:rPr>
                <w:sz w:val="18"/>
              </w:rPr>
            </w:pPr>
            <w:r>
              <w:rPr>
                <w:sz w:val="18"/>
              </w:rPr>
              <w:t>DCM</w:t>
            </w:r>
          </w:p>
          <w:p>
            <w:pPr>
              <w:pStyle w:val="TableParagraph"/>
              <w:spacing w:line="207" w:lineRule="exact"/>
              <w:rPr>
                <w:rFonts w:ascii="Times New Roman"/>
                <w:sz w:val="20"/>
              </w:rPr>
            </w:pPr>
            <w:r>
              <w:rPr>
                <w:rFonts w:ascii="Times New Roman"/>
                <w:w w:val="99"/>
                <w:sz w:val="20"/>
              </w:rPr>
              <w:t>.</w:t>
            </w:r>
          </w:p>
        </w:tc>
        <w:tc>
          <w:tcPr>
            <w:tcW w:w="1338" w:type="dxa"/>
          </w:tcPr>
          <w:p>
            <w:pPr>
              <w:pStyle w:val="TableParagraph"/>
              <w:spacing w:line="204" w:lineRule="exact"/>
              <w:ind w:left="487"/>
              <w:rPr>
                <w:sz w:val="18"/>
              </w:rPr>
            </w:pPr>
            <w:r>
              <w:rPr>
                <w:sz w:val="18"/>
              </w:rPr>
              <w:t>2/47.</w:t>
            </w:r>
          </w:p>
        </w:tc>
        <w:tc>
          <w:tcPr>
            <w:tcW w:w="1724" w:type="dxa"/>
          </w:tcPr>
          <w:p>
            <w:pPr>
              <w:pStyle w:val="TableParagraph"/>
              <w:ind w:left="0"/>
              <w:rPr>
                <w:rFonts w:ascii="Times New Roman"/>
                <w:sz w:val="22"/>
              </w:rPr>
            </w:pPr>
          </w:p>
        </w:tc>
      </w:tr>
    </w:tbl>
    <w:sectPr>
      <w:pgSz w:w="11900" w:h="16840"/>
      <w:pgMar w:header="0" w:footer="794" w:top="1600" w:bottom="980" w:left="1260" w:right="13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ymbol">
    <w:altName w:val="Symbol"/>
    <w:charset w:val="2"/>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292.359894pt;margin-top:791.296509pt;width:10.7pt;height:15.45pt;mso-position-horizontal-relative:page;mso-position-vertical-relative:page;z-index:-7120" type="#_x0000_t202" filled="false" stroked="false">
          <v:textbox inset="0,0,0,0">
            <w:txbxContent>
              <w:p>
                <w:pPr>
                  <w:spacing w:before="12"/>
                  <w:ind w:left="40" w:right="0" w:firstLine="0"/>
                  <w:jc w:val="left"/>
                  <w:rPr>
                    <w:b/>
                    <w:sz w:val="24"/>
                  </w:rPr>
                </w:pPr>
                <w:r>
                  <w:rPr/>
                  <w:fldChar w:fldCharType="begin"/>
                </w:r>
                <w:r>
                  <w:rPr>
                    <w:b/>
                    <w:w w:val="99"/>
                    <w:sz w:val="24"/>
                  </w:rPr>
                  <w:instrText> PAGE </w:instrText>
                </w:r>
                <w:r>
                  <w:rPr/>
                  <w:fldChar w:fldCharType="separate"/>
                </w:r>
                <w:r>
                  <w:rPr/>
                  <w:t>1</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876" w:hanging="411"/>
      </w:pPr>
      <w:rPr>
        <w:rFonts w:hint="default" w:ascii="Symbol" w:hAnsi="Symbol" w:eastAsia="Symbol" w:cs="Symbol"/>
        <w:w w:val="100"/>
        <w:sz w:val="28"/>
        <w:szCs w:val="28"/>
        <w:lang w:val="fr-FR" w:eastAsia="fr-FR" w:bidi="fr-FR"/>
      </w:rPr>
    </w:lvl>
    <w:lvl w:ilvl="1">
      <w:start w:val="0"/>
      <w:numFmt w:val="bullet"/>
      <w:lvlText w:val="-"/>
      <w:lvlJc w:val="left"/>
      <w:pPr>
        <w:ind w:left="1236" w:hanging="360"/>
      </w:pPr>
      <w:rPr>
        <w:rFonts w:hint="default" w:ascii="Times New Roman" w:hAnsi="Times New Roman" w:eastAsia="Times New Roman" w:cs="Times New Roman"/>
        <w:w w:val="99"/>
        <w:sz w:val="24"/>
        <w:szCs w:val="24"/>
        <w:lang w:val="fr-FR" w:eastAsia="fr-FR" w:bidi="fr-FR"/>
      </w:rPr>
    </w:lvl>
    <w:lvl w:ilvl="2">
      <w:start w:val="0"/>
      <w:numFmt w:val="bullet"/>
      <w:lvlText w:val="•"/>
      <w:lvlJc w:val="left"/>
      <w:pPr>
        <w:ind w:left="2140" w:hanging="360"/>
      </w:pPr>
      <w:rPr>
        <w:rFonts w:hint="default"/>
        <w:lang w:val="fr-FR" w:eastAsia="fr-FR" w:bidi="fr-FR"/>
      </w:rPr>
    </w:lvl>
    <w:lvl w:ilvl="3">
      <w:start w:val="0"/>
      <w:numFmt w:val="bullet"/>
      <w:lvlText w:val="•"/>
      <w:lvlJc w:val="left"/>
      <w:pPr>
        <w:ind w:left="3040" w:hanging="360"/>
      </w:pPr>
      <w:rPr>
        <w:rFonts w:hint="default"/>
        <w:lang w:val="fr-FR" w:eastAsia="fr-FR" w:bidi="fr-FR"/>
      </w:rPr>
    </w:lvl>
    <w:lvl w:ilvl="4">
      <w:start w:val="0"/>
      <w:numFmt w:val="bullet"/>
      <w:lvlText w:val="•"/>
      <w:lvlJc w:val="left"/>
      <w:pPr>
        <w:ind w:left="3940" w:hanging="360"/>
      </w:pPr>
      <w:rPr>
        <w:rFonts w:hint="default"/>
        <w:lang w:val="fr-FR" w:eastAsia="fr-FR" w:bidi="fr-FR"/>
      </w:rPr>
    </w:lvl>
    <w:lvl w:ilvl="5">
      <w:start w:val="0"/>
      <w:numFmt w:val="bullet"/>
      <w:lvlText w:val="•"/>
      <w:lvlJc w:val="left"/>
      <w:pPr>
        <w:ind w:left="4840" w:hanging="360"/>
      </w:pPr>
      <w:rPr>
        <w:rFonts w:hint="default"/>
        <w:lang w:val="fr-FR" w:eastAsia="fr-FR" w:bidi="fr-FR"/>
      </w:rPr>
    </w:lvl>
    <w:lvl w:ilvl="6">
      <w:start w:val="0"/>
      <w:numFmt w:val="bullet"/>
      <w:lvlText w:val="•"/>
      <w:lvlJc w:val="left"/>
      <w:pPr>
        <w:ind w:left="5740" w:hanging="360"/>
      </w:pPr>
      <w:rPr>
        <w:rFonts w:hint="default"/>
        <w:lang w:val="fr-FR" w:eastAsia="fr-FR" w:bidi="fr-FR"/>
      </w:rPr>
    </w:lvl>
    <w:lvl w:ilvl="7">
      <w:start w:val="0"/>
      <w:numFmt w:val="bullet"/>
      <w:lvlText w:val="•"/>
      <w:lvlJc w:val="left"/>
      <w:pPr>
        <w:ind w:left="6640" w:hanging="360"/>
      </w:pPr>
      <w:rPr>
        <w:rFonts w:hint="default"/>
        <w:lang w:val="fr-FR" w:eastAsia="fr-FR" w:bidi="fr-FR"/>
      </w:rPr>
    </w:lvl>
    <w:lvl w:ilvl="8">
      <w:start w:val="0"/>
      <w:numFmt w:val="bullet"/>
      <w:lvlText w:val="•"/>
      <w:lvlJc w:val="left"/>
      <w:pPr>
        <w:ind w:left="7540" w:hanging="360"/>
      </w:pPr>
      <w:rPr>
        <w:rFonts w:hint="default"/>
        <w:lang w:val="fr-FR" w:eastAsia="fr-FR" w:bidi="fr-FR"/>
      </w:rPr>
    </w:lvl>
  </w:abstractNum>
  <w:abstractNum w:abstractNumId="0">
    <w:multiLevelType w:val="hybridMultilevel"/>
    <w:lvl w:ilvl="0">
      <w:start w:val="1"/>
      <w:numFmt w:val="decimal"/>
      <w:lvlText w:val="%1."/>
      <w:lvlJc w:val="left"/>
      <w:pPr>
        <w:ind w:left="657" w:hanging="360"/>
        <w:jc w:val="left"/>
      </w:pPr>
      <w:rPr>
        <w:rFonts w:hint="default"/>
        <w:spacing w:val="0"/>
        <w:w w:val="99"/>
        <w:lang w:val="fr-FR" w:eastAsia="fr-FR" w:bidi="fr-FR"/>
      </w:rPr>
    </w:lvl>
    <w:lvl w:ilvl="1">
      <w:start w:val="1"/>
      <w:numFmt w:val="decimal"/>
      <w:lvlText w:val="%2."/>
      <w:lvlJc w:val="left"/>
      <w:pPr>
        <w:ind w:left="1509" w:hanging="360"/>
        <w:jc w:val="left"/>
      </w:pPr>
      <w:rPr>
        <w:rFonts w:hint="default" w:ascii="Arial" w:hAnsi="Arial" w:eastAsia="Arial" w:cs="Arial"/>
        <w:spacing w:val="0"/>
        <w:w w:val="99"/>
        <w:sz w:val="24"/>
        <w:szCs w:val="24"/>
        <w:lang w:val="fr-FR" w:eastAsia="fr-FR" w:bidi="fr-FR"/>
      </w:rPr>
    </w:lvl>
    <w:lvl w:ilvl="2">
      <w:start w:val="0"/>
      <w:numFmt w:val="bullet"/>
      <w:lvlText w:val="•"/>
      <w:lvlJc w:val="left"/>
      <w:pPr>
        <w:ind w:left="2371" w:hanging="360"/>
      </w:pPr>
      <w:rPr>
        <w:rFonts w:hint="default"/>
        <w:lang w:val="fr-FR" w:eastAsia="fr-FR" w:bidi="fr-FR"/>
      </w:rPr>
    </w:lvl>
    <w:lvl w:ilvl="3">
      <w:start w:val="0"/>
      <w:numFmt w:val="bullet"/>
      <w:lvlText w:val="•"/>
      <w:lvlJc w:val="left"/>
      <w:pPr>
        <w:ind w:left="3242" w:hanging="360"/>
      </w:pPr>
      <w:rPr>
        <w:rFonts w:hint="default"/>
        <w:lang w:val="fr-FR" w:eastAsia="fr-FR" w:bidi="fr-FR"/>
      </w:rPr>
    </w:lvl>
    <w:lvl w:ilvl="4">
      <w:start w:val="0"/>
      <w:numFmt w:val="bullet"/>
      <w:lvlText w:val="•"/>
      <w:lvlJc w:val="left"/>
      <w:pPr>
        <w:ind w:left="4113" w:hanging="360"/>
      </w:pPr>
      <w:rPr>
        <w:rFonts w:hint="default"/>
        <w:lang w:val="fr-FR" w:eastAsia="fr-FR" w:bidi="fr-FR"/>
      </w:rPr>
    </w:lvl>
    <w:lvl w:ilvl="5">
      <w:start w:val="0"/>
      <w:numFmt w:val="bullet"/>
      <w:lvlText w:val="•"/>
      <w:lvlJc w:val="left"/>
      <w:pPr>
        <w:ind w:left="4984" w:hanging="360"/>
      </w:pPr>
      <w:rPr>
        <w:rFonts w:hint="default"/>
        <w:lang w:val="fr-FR" w:eastAsia="fr-FR" w:bidi="fr-FR"/>
      </w:rPr>
    </w:lvl>
    <w:lvl w:ilvl="6">
      <w:start w:val="0"/>
      <w:numFmt w:val="bullet"/>
      <w:lvlText w:val="•"/>
      <w:lvlJc w:val="left"/>
      <w:pPr>
        <w:ind w:left="5855" w:hanging="360"/>
      </w:pPr>
      <w:rPr>
        <w:rFonts w:hint="default"/>
        <w:lang w:val="fr-FR" w:eastAsia="fr-FR" w:bidi="fr-FR"/>
      </w:rPr>
    </w:lvl>
    <w:lvl w:ilvl="7">
      <w:start w:val="0"/>
      <w:numFmt w:val="bullet"/>
      <w:lvlText w:val="•"/>
      <w:lvlJc w:val="left"/>
      <w:pPr>
        <w:ind w:left="6726" w:hanging="360"/>
      </w:pPr>
      <w:rPr>
        <w:rFonts w:hint="default"/>
        <w:lang w:val="fr-FR" w:eastAsia="fr-FR" w:bidi="fr-FR"/>
      </w:rPr>
    </w:lvl>
    <w:lvl w:ilvl="8">
      <w:start w:val="0"/>
      <w:numFmt w:val="bullet"/>
      <w:lvlText w:val="•"/>
      <w:lvlJc w:val="left"/>
      <w:pPr>
        <w:ind w:left="7597" w:hanging="360"/>
      </w:pPr>
      <w:rPr>
        <w:rFonts w:hint="default"/>
        <w:lang w:val="fr-FR" w:eastAsia="fr-FR" w:bidi="fr-FR"/>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fr-FR" w:eastAsia="fr-FR" w:bidi="fr-FR"/>
    </w:rPr>
  </w:style>
  <w:style w:styleId="BodyText" w:type="paragraph">
    <w:name w:val="Body Text"/>
    <w:basedOn w:val="Normal"/>
    <w:uiPriority w:val="1"/>
    <w:qFormat/>
    <w:pPr/>
    <w:rPr>
      <w:rFonts w:ascii="Arial" w:hAnsi="Arial" w:eastAsia="Arial" w:cs="Arial"/>
      <w:sz w:val="24"/>
      <w:szCs w:val="24"/>
      <w:lang w:val="fr-FR" w:eastAsia="fr-FR" w:bidi="fr-FR"/>
    </w:rPr>
  </w:style>
  <w:style w:styleId="Heading1" w:type="paragraph">
    <w:name w:val="Heading 1"/>
    <w:basedOn w:val="Normal"/>
    <w:uiPriority w:val="1"/>
    <w:qFormat/>
    <w:pPr>
      <w:ind w:left="657"/>
      <w:outlineLvl w:val="1"/>
    </w:pPr>
    <w:rPr>
      <w:rFonts w:ascii="Arial" w:hAnsi="Arial" w:eastAsia="Arial" w:cs="Arial"/>
      <w:b/>
      <w:bCs/>
      <w:sz w:val="24"/>
      <w:szCs w:val="24"/>
      <w:lang w:val="fr-FR" w:eastAsia="fr-FR" w:bidi="fr-FR"/>
    </w:rPr>
  </w:style>
  <w:style w:styleId="ListParagraph" w:type="paragraph">
    <w:name w:val="List Paragraph"/>
    <w:basedOn w:val="Normal"/>
    <w:uiPriority w:val="1"/>
    <w:qFormat/>
    <w:pPr>
      <w:ind w:left="657" w:hanging="360"/>
    </w:pPr>
    <w:rPr>
      <w:rFonts w:ascii="Arial" w:hAnsi="Arial" w:eastAsia="Arial" w:cs="Arial"/>
      <w:lang w:val="fr-FR" w:eastAsia="fr-FR" w:bidi="fr-FR"/>
    </w:rPr>
  </w:style>
  <w:style w:styleId="TableParagraph" w:type="paragraph">
    <w:name w:val="Table Paragraph"/>
    <w:basedOn w:val="Normal"/>
    <w:uiPriority w:val="1"/>
    <w:qFormat/>
    <w:pPr>
      <w:ind w:left="50"/>
    </w:pPr>
    <w:rPr>
      <w:rFonts w:ascii="Arial" w:hAnsi="Arial" w:eastAsia="Arial" w:cs="Arial"/>
      <w:lang w:val="fr-FR" w:eastAsia="fr-FR" w:bidi="fr-F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satellite L745</dc:creator>
  <cp:keywords>()</cp:keywords>
  <dc:title>Decret Taxes et Redevances Minières Fr</dc:title>
  <dcterms:created xsi:type="dcterms:W3CDTF">2018-10-04T14:56:11Z</dcterms:created>
  <dcterms:modified xsi:type="dcterms:W3CDTF">2018-10-04T14:56:11Z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2014-04-21T00:00:00Z</vt:filetime>
  </property>
  <property fmtid="{D5CDD505-2E9C-101B-9397-08002B2CF9AE}" pid="3" name="Creator">
    <vt:lpwstr>PDFCreator Version 1.7.2</vt:lpwstr>
  </property>
  <property fmtid="{D5CDD505-2E9C-101B-9397-08002B2CF9AE}" pid="4" name="LastSaved">
    <vt:filetime>2018-10-04T00:00:00Z</vt:filetime>
  </property>
</Properties>
</file>